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FDBF13">
      <w:pPr>
        <w:jc w:val="center"/>
        <w:rPr>
          <w:rFonts w:ascii="宋体" w:hAnsi="宋体" w:eastAsia="宋体" w:cs="Times New Roman"/>
          <w:b/>
          <w:bCs/>
          <w:spacing w:val="20"/>
          <w:sz w:val="72"/>
          <w:szCs w:val="72"/>
          <w:highlight w:val="none"/>
        </w:rPr>
      </w:pPr>
    </w:p>
    <w:p w14:paraId="63AE9516">
      <w:pPr>
        <w:jc w:val="center"/>
        <w:rPr>
          <w:rFonts w:ascii="宋体" w:hAnsi="宋体" w:eastAsia="宋体" w:cs="Times New Roman"/>
          <w:b/>
          <w:bCs/>
          <w:spacing w:val="20"/>
          <w:sz w:val="72"/>
          <w:szCs w:val="72"/>
          <w:highlight w:val="none"/>
        </w:rPr>
      </w:pPr>
      <w:r>
        <w:rPr>
          <w:rFonts w:hint="eastAsia" w:ascii="宋体" w:hAnsi="宋体" w:eastAsia="宋体" w:cs="Times New Roman"/>
          <w:b/>
          <w:bCs/>
          <w:spacing w:val="20"/>
          <w:sz w:val="72"/>
          <w:szCs w:val="72"/>
          <w:highlight w:val="none"/>
        </w:rPr>
        <w:t>江 阴 市 政 府 采 购</w:t>
      </w:r>
    </w:p>
    <w:p w14:paraId="4595AE21">
      <w:pPr>
        <w:jc w:val="center"/>
        <w:rPr>
          <w:rFonts w:ascii="宋体" w:hAnsi="宋体" w:eastAsia="宋体" w:cs="Times New Roman"/>
          <w:b/>
          <w:bCs/>
          <w:spacing w:val="20"/>
          <w:sz w:val="72"/>
          <w:szCs w:val="72"/>
          <w:highlight w:val="none"/>
        </w:rPr>
      </w:pPr>
    </w:p>
    <w:p w14:paraId="25927FCC">
      <w:pPr>
        <w:jc w:val="center"/>
        <w:rPr>
          <w:rFonts w:ascii="宋体" w:hAnsi="宋体" w:eastAsia="宋体" w:cs="Times New Roman"/>
          <w:b/>
          <w:bCs/>
          <w:spacing w:val="20"/>
          <w:sz w:val="72"/>
          <w:szCs w:val="72"/>
          <w:highlight w:val="none"/>
        </w:rPr>
      </w:pPr>
    </w:p>
    <w:p w14:paraId="4405F2F4">
      <w:pPr>
        <w:jc w:val="center"/>
        <w:rPr>
          <w:rFonts w:ascii="宋体" w:hAnsi="宋体" w:eastAsia="宋体" w:cs="Times New Roman"/>
          <w:b/>
          <w:bCs/>
          <w:spacing w:val="20"/>
          <w:sz w:val="72"/>
          <w:szCs w:val="72"/>
          <w:highlight w:val="none"/>
        </w:rPr>
      </w:pPr>
      <w:r>
        <w:rPr>
          <w:rFonts w:hint="eastAsia" w:ascii="宋体" w:hAnsi="宋体" w:eastAsia="宋体" w:cs="Times New Roman"/>
          <w:b/>
          <w:bCs/>
          <w:sz w:val="72"/>
          <w:szCs w:val="72"/>
          <w:highlight w:val="none"/>
        </w:rPr>
        <w:t>公　开　招　标</w:t>
      </w:r>
    </w:p>
    <w:p w14:paraId="211F09A3">
      <w:pPr>
        <w:jc w:val="center"/>
        <w:rPr>
          <w:rFonts w:ascii="宋体" w:hAnsi="宋体" w:eastAsia="宋体" w:cs="Times New Roman"/>
          <w:b/>
          <w:bCs/>
          <w:sz w:val="72"/>
          <w:szCs w:val="72"/>
          <w:highlight w:val="none"/>
        </w:rPr>
      </w:pPr>
      <w:r>
        <w:rPr>
          <w:rFonts w:ascii="宋体" w:hAnsi="宋体" w:eastAsia="宋体" w:cs="Times New Roman"/>
          <w:b/>
          <w:bCs/>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PVL/odYAAAAJAQAADwAA&#10;AAAAAAABACAAAAAiAAAAZHJzL2Rvd25yZXYueG1sUEsBAhQAFAAAAAgAh07iQDDV5a/fAQAApgMA&#10;AA4AAAAAAAAAAQAgAAAAJQEAAGRycy9lMm9Eb2MueG1sUEsFBgAAAAAGAAYAWQEAAHYFA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highlight w:val="none"/>
        </w:rPr>
        <w:t>招　标　文　件</w:t>
      </w:r>
    </w:p>
    <w:p w14:paraId="1D392080">
      <w:pPr>
        <w:jc w:val="center"/>
        <w:rPr>
          <w:rFonts w:ascii="宋体" w:hAnsi="宋体" w:eastAsia="宋体" w:cs="Times New Roman"/>
          <w:b/>
          <w:bCs/>
          <w:sz w:val="72"/>
          <w:szCs w:val="72"/>
          <w:highlight w:val="none"/>
        </w:rPr>
      </w:pPr>
    </w:p>
    <w:p w14:paraId="195B0960">
      <w:pPr>
        <w:jc w:val="center"/>
        <w:rPr>
          <w:rFonts w:ascii="宋体" w:hAnsi="宋体" w:eastAsia="宋体" w:cs="Times New Roman"/>
          <w:b/>
          <w:bCs/>
          <w:sz w:val="72"/>
          <w:szCs w:val="72"/>
          <w:highlight w:val="none"/>
        </w:rPr>
      </w:pPr>
    </w:p>
    <w:p w14:paraId="6B33DC92">
      <w:pPr>
        <w:spacing w:line="360" w:lineRule="auto"/>
        <w:ind w:left="3207" w:leftChars="456" w:hanging="2249" w:hangingChars="700"/>
        <w:rPr>
          <w:rFonts w:ascii="宋体" w:hAnsi="宋体" w:eastAsia="宋体" w:cs="Times New Roman"/>
          <w:bCs/>
          <w:sz w:val="32"/>
          <w:szCs w:val="24"/>
          <w:highlight w:val="none"/>
        </w:rPr>
      </w:pPr>
      <w:r>
        <w:rPr>
          <w:rFonts w:hint="eastAsia" w:ascii="宋体" w:hAnsi="宋体" w:eastAsia="宋体" w:cs="Times New Roman"/>
          <w:b/>
          <w:sz w:val="32"/>
          <w:szCs w:val="32"/>
          <w:highlight w:val="none"/>
        </w:rPr>
        <w:t>采购项目名称</w:t>
      </w:r>
      <w:bookmarkStart w:id="0" w:name="_Toc311189700"/>
      <w:bookmarkStart w:id="1" w:name="_Toc311189771"/>
      <w:r>
        <w:rPr>
          <w:rFonts w:hint="eastAsia" w:ascii="宋体" w:hAnsi="宋体" w:eastAsia="宋体" w:cs="Times New Roman"/>
          <w:b/>
          <w:sz w:val="32"/>
          <w:szCs w:val="32"/>
          <w:highlight w:val="none"/>
        </w:rPr>
        <w:t>：</w:t>
      </w:r>
      <w:r>
        <w:rPr>
          <w:rFonts w:hint="eastAsia" w:ascii="宋体" w:hAnsi="宋体" w:eastAsia="宋体" w:cs="宋体"/>
          <w:bCs/>
          <w:sz w:val="32"/>
          <w:szCs w:val="32"/>
          <w:highlight w:val="none"/>
        </w:rPr>
        <w:t>江阴公路泵站智能化提升项目</w:t>
      </w:r>
    </w:p>
    <w:p w14:paraId="2B828957">
      <w:pPr>
        <w:spacing w:line="360" w:lineRule="auto"/>
        <w:ind w:left="1279" w:leftChars="456" w:hanging="321" w:hangingChars="100"/>
        <w:rPr>
          <w:rFonts w:hint="eastAsia" w:ascii="宋体" w:hAnsi="宋体" w:eastAsia="宋体" w:cs="Times New Roman"/>
          <w:bCs/>
          <w:sz w:val="32"/>
          <w:szCs w:val="24"/>
          <w:highlight w:val="none"/>
          <w:lang w:eastAsia="zh-CN"/>
        </w:rPr>
      </w:pPr>
      <w:r>
        <w:rPr>
          <w:rFonts w:hint="eastAsia" w:ascii="宋体" w:hAnsi="宋体" w:eastAsia="宋体" w:cs="Times New Roman"/>
          <w:b/>
          <w:sz w:val="32"/>
          <w:szCs w:val="32"/>
          <w:highlight w:val="none"/>
        </w:rPr>
        <w:t>采购项</w:t>
      </w:r>
      <w:r>
        <w:rPr>
          <w:rFonts w:hint="eastAsia" w:ascii="宋体" w:hAnsi="宋体" w:eastAsia="宋体" w:cs="Batang"/>
          <w:b/>
          <w:sz w:val="32"/>
          <w:szCs w:val="32"/>
          <w:highlight w:val="none"/>
        </w:rPr>
        <w:t>目</w:t>
      </w:r>
      <w:bookmarkEnd w:id="0"/>
      <w:bookmarkEnd w:id="1"/>
      <w:r>
        <w:rPr>
          <w:rFonts w:hint="eastAsia" w:ascii="宋体" w:hAnsi="宋体" w:eastAsia="宋体" w:cs="Times New Roman"/>
          <w:b/>
          <w:bCs/>
          <w:sz w:val="32"/>
          <w:szCs w:val="32"/>
          <w:highlight w:val="none"/>
        </w:rPr>
        <w:t>编号</w:t>
      </w:r>
      <w:r>
        <w:rPr>
          <w:rFonts w:hint="eastAsia" w:ascii="宋体" w:hAnsi="宋体" w:eastAsia="宋体" w:cs="Times New Roman"/>
          <w:bCs/>
          <w:sz w:val="32"/>
          <w:szCs w:val="24"/>
          <w:highlight w:val="none"/>
        </w:rPr>
        <w:t>：</w:t>
      </w:r>
      <w:r>
        <w:rPr>
          <w:rFonts w:hint="eastAsia" w:ascii="宋体" w:hAnsi="宋体" w:eastAsia="宋体" w:cs="宋体"/>
          <w:bCs/>
          <w:sz w:val="32"/>
          <w:szCs w:val="32"/>
          <w:highlight w:val="none"/>
          <w:lang w:eastAsia="zh-CN"/>
        </w:rPr>
        <w:t>JSZC-320281-JZCG-G2026-0026</w:t>
      </w:r>
    </w:p>
    <w:p w14:paraId="111A03EC">
      <w:pPr>
        <w:keepNext/>
        <w:keepLines/>
        <w:spacing w:line="360" w:lineRule="auto"/>
        <w:ind w:firstLine="964" w:firstLineChars="300"/>
        <w:outlineLvl w:val="1"/>
        <w:rPr>
          <w:rFonts w:ascii="宋体" w:hAnsi="宋体" w:eastAsia="宋体" w:cs="Times New Roman"/>
          <w:bCs/>
          <w:sz w:val="32"/>
          <w:szCs w:val="32"/>
          <w:highlight w:val="none"/>
        </w:rPr>
      </w:pPr>
      <w:bookmarkStart w:id="2" w:name="_Toc311189701"/>
      <w:bookmarkStart w:id="3" w:name="_Toc311189772"/>
      <w:r>
        <w:rPr>
          <w:rFonts w:hint="eastAsia" w:ascii="宋体" w:hAnsi="宋体" w:eastAsia="宋体" w:cs="Times New Roman"/>
          <w:b/>
          <w:bCs/>
          <w:sz w:val="32"/>
          <w:szCs w:val="32"/>
          <w:highlight w:val="none"/>
        </w:rPr>
        <w:t>集中采</w:t>
      </w:r>
      <w:r>
        <w:rPr>
          <w:rFonts w:hint="eastAsia" w:ascii="宋体" w:hAnsi="宋体" w:eastAsia="宋体" w:cs="宋体"/>
          <w:b/>
          <w:bCs/>
          <w:sz w:val="32"/>
          <w:szCs w:val="32"/>
          <w:highlight w:val="none"/>
        </w:rPr>
        <w:t>购</w:t>
      </w:r>
      <w:r>
        <w:rPr>
          <w:rFonts w:hint="eastAsia" w:ascii="宋体" w:hAnsi="宋体" w:eastAsia="宋体" w:cs="Batang"/>
          <w:b/>
          <w:bCs/>
          <w:sz w:val="32"/>
          <w:szCs w:val="32"/>
          <w:highlight w:val="none"/>
        </w:rPr>
        <w:t>机</w:t>
      </w:r>
      <w:r>
        <w:rPr>
          <w:rFonts w:hint="eastAsia" w:ascii="宋体" w:hAnsi="宋体" w:eastAsia="宋体" w:cs="宋体"/>
          <w:b/>
          <w:bCs/>
          <w:sz w:val="32"/>
          <w:szCs w:val="32"/>
          <w:highlight w:val="none"/>
        </w:rPr>
        <w:t>构</w:t>
      </w:r>
      <w:r>
        <w:rPr>
          <w:rFonts w:hint="eastAsia" w:ascii="宋体" w:hAnsi="宋体" w:eastAsia="宋体" w:cs="Times New Roman"/>
          <w:b/>
          <w:bCs/>
          <w:sz w:val="32"/>
          <w:szCs w:val="32"/>
          <w:highlight w:val="none"/>
        </w:rPr>
        <w:t xml:space="preserve">: </w:t>
      </w:r>
      <w:r>
        <w:rPr>
          <w:rFonts w:hint="eastAsia" w:ascii="宋体" w:hAnsi="宋体" w:eastAsia="宋体" w:cs="Times New Roman"/>
          <w:bCs/>
          <w:sz w:val="32"/>
          <w:szCs w:val="32"/>
          <w:highlight w:val="none"/>
        </w:rPr>
        <w:t>江</w:t>
      </w:r>
      <w:r>
        <w:rPr>
          <w:rFonts w:hint="eastAsia" w:ascii="宋体" w:hAnsi="宋体" w:eastAsia="宋体" w:cs="宋体"/>
          <w:bCs/>
          <w:sz w:val="32"/>
          <w:szCs w:val="32"/>
          <w:highlight w:val="none"/>
        </w:rPr>
        <w:t>阴</w:t>
      </w:r>
      <w:r>
        <w:rPr>
          <w:rFonts w:hint="eastAsia" w:ascii="宋体" w:hAnsi="宋体" w:eastAsia="宋体" w:cs="Batang"/>
          <w:bCs/>
          <w:sz w:val="32"/>
          <w:szCs w:val="32"/>
          <w:highlight w:val="none"/>
        </w:rPr>
        <w:t>市政</w:t>
      </w:r>
      <w:r>
        <w:rPr>
          <w:rFonts w:hint="eastAsia" w:ascii="宋体" w:hAnsi="宋体" w:eastAsia="宋体" w:cs="Times New Roman"/>
          <w:bCs/>
          <w:sz w:val="32"/>
          <w:szCs w:val="32"/>
          <w:highlight w:val="none"/>
        </w:rPr>
        <w:t>府采</w:t>
      </w:r>
      <w:r>
        <w:rPr>
          <w:rFonts w:hint="eastAsia" w:ascii="宋体" w:hAnsi="宋体" w:eastAsia="宋体" w:cs="宋体"/>
          <w:bCs/>
          <w:sz w:val="32"/>
          <w:szCs w:val="32"/>
          <w:highlight w:val="none"/>
        </w:rPr>
        <w:t>购</w:t>
      </w:r>
      <w:r>
        <w:rPr>
          <w:rFonts w:hint="eastAsia" w:ascii="宋体" w:hAnsi="宋体" w:eastAsia="宋体" w:cs="Batang"/>
          <w:bCs/>
          <w:sz w:val="32"/>
          <w:szCs w:val="32"/>
          <w:highlight w:val="none"/>
        </w:rPr>
        <w:t>中心</w:t>
      </w:r>
      <w:bookmarkEnd w:id="2"/>
      <w:bookmarkEnd w:id="3"/>
    </w:p>
    <w:p w14:paraId="39B1131E">
      <w:pPr>
        <w:jc w:val="center"/>
        <w:rPr>
          <w:rFonts w:ascii="宋体" w:hAnsi="宋体" w:eastAsia="宋体" w:cs="Times New Roman"/>
          <w:bCs/>
          <w:sz w:val="48"/>
          <w:szCs w:val="24"/>
          <w:highlight w:val="none"/>
        </w:rPr>
      </w:pPr>
    </w:p>
    <w:p w14:paraId="0AE2C5F5">
      <w:pPr>
        <w:jc w:val="center"/>
        <w:rPr>
          <w:rFonts w:ascii="宋体" w:hAnsi="宋体" w:eastAsia="宋体" w:cs="Times New Roman"/>
          <w:bCs/>
          <w:sz w:val="48"/>
          <w:szCs w:val="24"/>
          <w:highlight w:val="none"/>
        </w:rPr>
      </w:pPr>
    </w:p>
    <w:p w14:paraId="1C66AAEA">
      <w:pPr>
        <w:jc w:val="center"/>
        <w:rPr>
          <w:rFonts w:ascii="宋体" w:hAnsi="宋体" w:eastAsia="宋体" w:cs="Times New Roman"/>
          <w:bCs/>
          <w:sz w:val="48"/>
          <w:szCs w:val="24"/>
          <w:highlight w:val="none"/>
        </w:rPr>
      </w:pPr>
    </w:p>
    <w:p w14:paraId="324BC11A">
      <w:pPr>
        <w:jc w:val="center"/>
        <w:rPr>
          <w:rFonts w:ascii="宋体" w:hAnsi="宋体" w:eastAsia="宋体" w:cs="Times New Roman"/>
          <w:bCs/>
          <w:sz w:val="48"/>
          <w:szCs w:val="24"/>
          <w:highlight w:val="none"/>
        </w:rPr>
      </w:pPr>
    </w:p>
    <w:p w14:paraId="6933C6F4">
      <w:pPr>
        <w:jc w:val="center"/>
        <w:rPr>
          <w:rFonts w:ascii="宋体" w:hAnsi="宋体" w:eastAsia="宋体" w:cs="Times New Roman"/>
          <w:bCs/>
          <w:sz w:val="48"/>
          <w:szCs w:val="24"/>
          <w:highlight w:val="none"/>
        </w:rPr>
        <w:sectPr>
          <w:headerReference r:id="rId3" w:type="default"/>
          <w:footerReference r:id="rId4" w:type="default"/>
          <w:pgSz w:w="11906" w:h="16838"/>
          <w:pgMar w:top="1247" w:right="1247" w:bottom="1247" w:left="1247" w:header="851" w:footer="992" w:gutter="0"/>
          <w:cols w:space="425" w:num="1"/>
          <w:titlePg/>
          <w:docGrid w:linePitch="312" w:charSpace="0"/>
        </w:sectPr>
      </w:pPr>
      <w:r>
        <w:rPr>
          <w:rFonts w:hint="eastAsia" w:ascii="宋体" w:hAnsi="宋体" w:eastAsia="宋体" w:cs="Times New Roman"/>
          <w:bCs/>
          <w:sz w:val="48"/>
          <w:szCs w:val="24"/>
          <w:highlight w:val="none"/>
        </w:rPr>
        <w:t>二○二六年</w:t>
      </w:r>
      <w:r>
        <w:rPr>
          <w:rFonts w:hint="eastAsia" w:ascii="宋体" w:hAnsi="宋体" w:eastAsia="宋体" w:cs="Times New Roman"/>
          <w:bCs/>
          <w:sz w:val="48"/>
          <w:szCs w:val="24"/>
          <w:highlight w:val="none"/>
          <w:lang w:eastAsia="zh-CN"/>
        </w:rPr>
        <w:t>五</w:t>
      </w:r>
      <w:r>
        <w:rPr>
          <w:rFonts w:hint="eastAsia" w:ascii="宋体" w:hAnsi="宋体" w:eastAsia="宋体" w:cs="Times New Roman"/>
          <w:bCs/>
          <w:sz w:val="48"/>
          <w:szCs w:val="24"/>
          <w:highlight w:val="none"/>
        </w:rPr>
        <w:t>月</w:t>
      </w:r>
    </w:p>
    <w:p w14:paraId="2B77DD83">
      <w:pPr>
        <w:spacing w:line="360" w:lineRule="auto"/>
        <w:jc w:val="center"/>
        <w:rPr>
          <w:rFonts w:ascii="黑体" w:hAnsi="Times New Roman" w:eastAsia="黑体" w:cs="Times New Roman"/>
          <w:bCs/>
          <w:sz w:val="44"/>
          <w:szCs w:val="44"/>
          <w:highlight w:val="none"/>
        </w:rPr>
      </w:pPr>
    </w:p>
    <w:p w14:paraId="172CEF13">
      <w:pPr>
        <w:spacing w:line="360" w:lineRule="auto"/>
        <w:jc w:val="center"/>
        <w:rPr>
          <w:rFonts w:ascii="黑体" w:hAnsi="Times New Roman" w:eastAsia="黑体" w:cs="Times New Roman"/>
          <w:bCs/>
          <w:sz w:val="44"/>
          <w:szCs w:val="44"/>
          <w:highlight w:val="none"/>
        </w:rPr>
      </w:pPr>
      <w:r>
        <w:rPr>
          <w:rFonts w:hint="eastAsia" w:ascii="黑体" w:hAnsi="Times New Roman" w:eastAsia="黑体" w:cs="Times New Roman"/>
          <w:bCs/>
          <w:sz w:val="44"/>
          <w:szCs w:val="44"/>
          <w:highlight w:val="none"/>
        </w:rPr>
        <w:t>总　目　录</w:t>
      </w:r>
    </w:p>
    <w:p w14:paraId="34E2AE88">
      <w:pPr>
        <w:spacing w:line="360" w:lineRule="auto"/>
        <w:jc w:val="center"/>
        <w:rPr>
          <w:rFonts w:ascii="黑体" w:hAnsi="Times New Roman" w:eastAsia="黑体" w:cs="Times New Roman"/>
          <w:bCs/>
          <w:sz w:val="44"/>
          <w:szCs w:val="44"/>
          <w:highlight w:val="none"/>
        </w:rPr>
      </w:pPr>
    </w:p>
    <w:p w14:paraId="5C0F7E31">
      <w:pPr>
        <w:pStyle w:val="22"/>
        <w:tabs>
          <w:tab w:val="right" w:leader="dot" w:pos="9402"/>
        </w:tabs>
        <w:spacing w:line="600" w:lineRule="exact"/>
        <w:rPr>
          <w:rFonts w:ascii="宋体" w:hAnsi="宋体" w:eastAsia="宋体"/>
          <w:bCs w:val="0"/>
          <w:caps w:val="0"/>
          <w:sz w:val="30"/>
          <w:szCs w:val="30"/>
          <w:highlight w:val="none"/>
        </w:rPr>
      </w:pPr>
      <w:r>
        <w:rPr>
          <w:rFonts w:ascii="宋体" w:hAnsi="宋体" w:eastAsia="宋体" w:cs="Times New Roman"/>
          <w:b w:val="0"/>
          <w:bCs w:val="0"/>
          <w:sz w:val="30"/>
          <w:szCs w:val="30"/>
          <w:highlight w:val="none"/>
        </w:rPr>
        <w:fldChar w:fldCharType="begin"/>
      </w:r>
      <w:r>
        <w:rPr>
          <w:rFonts w:ascii="宋体" w:hAnsi="宋体" w:eastAsia="宋体" w:cs="Times New Roman"/>
          <w:b w:val="0"/>
          <w:bCs w:val="0"/>
          <w:sz w:val="30"/>
          <w:szCs w:val="30"/>
          <w:highlight w:val="none"/>
        </w:rPr>
        <w:instrText xml:space="preserve"> </w:instrText>
      </w:r>
      <w:r>
        <w:rPr>
          <w:rFonts w:hint="eastAsia" w:ascii="宋体" w:hAnsi="宋体" w:eastAsia="宋体" w:cs="Times New Roman"/>
          <w:b w:val="0"/>
          <w:bCs w:val="0"/>
          <w:sz w:val="30"/>
          <w:szCs w:val="30"/>
          <w:highlight w:val="none"/>
        </w:rPr>
        <w:instrText xml:space="preserve">TOC \o "1-1" \h \z \u</w:instrText>
      </w:r>
      <w:r>
        <w:rPr>
          <w:rFonts w:ascii="宋体" w:hAnsi="宋体" w:eastAsia="宋体" w:cs="Times New Roman"/>
          <w:b w:val="0"/>
          <w:bCs w:val="0"/>
          <w:sz w:val="30"/>
          <w:szCs w:val="30"/>
          <w:highlight w:val="none"/>
        </w:rPr>
        <w:instrText xml:space="preserve"> </w:instrText>
      </w:r>
      <w:r>
        <w:rPr>
          <w:rFonts w:ascii="宋体" w:hAnsi="宋体" w:eastAsia="宋体" w:cs="Times New Roman"/>
          <w:b w:val="0"/>
          <w:bCs w:val="0"/>
          <w:sz w:val="30"/>
          <w:szCs w:val="30"/>
          <w:highlight w:val="none"/>
        </w:rPr>
        <w:fldChar w:fldCharType="separate"/>
      </w:r>
      <w:r>
        <w:rPr>
          <w:highlight w:val="none"/>
        </w:rPr>
        <w:fldChar w:fldCharType="begin"/>
      </w:r>
      <w:r>
        <w:rPr>
          <w:highlight w:val="none"/>
        </w:rPr>
        <w:instrText xml:space="preserve"> HYPERLINK \l "_Toc213847313" </w:instrText>
      </w:r>
      <w:r>
        <w:rPr>
          <w:highlight w:val="none"/>
        </w:rPr>
        <w:fldChar w:fldCharType="separate"/>
      </w:r>
      <w:r>
        <w:rPr>
          <w:rStyle w:val="37"/>
          <w:rFonts w:hint="eastAsia" w:ascii="宋体" w:hAnsi="宋体" w:eastAsia="宋体"/>
          <w:color w:val="auto"/>
          <w:sz w:val="30"/>
          <w:szCs w:val="30"/>
          <w:highlight w:val="none"/>
        </w:rPr>
        <w:t>第一章　投标邀请</w:t>
      </w:r>
      <w:r>
        <w:rPr>
          <w:rFonts w:eastAsia="宋体"/>
          <w:sz w:val="30"/>
          <w:szCs w:val="30"/>
          <w:highlight w:val="none"/>
        </w:rPr>
        <w:tab/>
      </w:r>
      <w:r>
        <w:rPr>
          <w:rFonts w:eastAsia="宋体"/>
          <w:sz w:val="30"/>
          <w:szCs w:val="30"/>
          <w:highlight w:val="none"/>
        </w:rPr>
        <w:fldChar w:fldCharType="begin"/>
      </w:r>
      <w:r>
        <w:rPr>
          <w:rFonts w:eastAsia="宋体"/>
          <w:sz w:val="30"/>
          <w:szCs w:val="30"/>
          <w:highlight w:val="none"/>
        </w:rPr>
        <w:instrText xml:space="preserve"> PAGEREF _Toc213847313 \h </w:instrText>
      </w:r>
      <w:r>
        <w:rPr>
          <w:rFonts w:eastAsia="宋体"/>
          <w:sz w:val="30"/>
          <w:szCs w:val="30"/>
          <w:highlight w:val="none"/>
        </w:rPr>
        <w:fldChar w:fldCharType="separate"/>
      </w:r>
      <w:r>
        <w:rPr>
          <w:rFonts w:eastAsia="宋体"/>
          <w:sz w:val="30"/>
          <w:szCs w:val="30"/>
          <w:highlight w:val="none"/>
        </w:rPr>
        <w:t>- 2 -</w:t>
      </w:r>
      <w:r>
        <w:rPr>
          <w:rFonts w:eastAsia="宋体"/>
          <w:sz w:val="30"/>
          <w:szCs w:val="30"/>
          <w:highlight w:val="none"/>
        </w:rPr>
        <w:fldChar w:fldCharType="end"/>
      </w:r>
      <w:r>
        <w:rPr>
          <w:rFonts w:eastAsia="宋体"/>
          <w:sz w:val="30"/>
          <w:szCs w:val="30"/>
          <w:highlight w:val="none"/>
        </w:rPr>
        <w:fldChar w:fldCharType="end"/>
      </w:r>
    </w:p>
    <w:p w14:paraId="78E92070">
      <w:pPr>
        <w:pStyle w:val="22"/>
        <w:tabs>
          <w:tab w:val="right" w:leader="dot" w:pos="9402"/>
        </w:tabs>
        <w:spacing w:line="600" w:lineRule="exact"/>
        <w:rPr>
          <w:rFonts w:ascii="宋体" w:hAnsi="宋体" w:eastAsia="宋体"/>
          <w:bCs w:val="0"/>
          <w:caps w:val="0"/>
          <w:sz w:val="30"/>
          <w:szCs w:val="30"/>
          <w:highlight w:val="none"/>
        </w:rPr>
      </w:pPr>
      <w:r>
        <w:rPr>
          <w:highlight w:val="none"/>
        </w:rPr>
        <w:fldChar w:fldCharType="begin"/>
      </w:r>
      <w:r>
        <w:rPr>
          <w:highlight w:val="none"/>
        </w:rPr>
        <w:instrText xml:space="preserve"> HYPERLINK \l "_Toc213847314" </w:instrText>
      </w:r>
      <w:r>
        <w:rPr>
          <w:highlight w:val="none"/>
        </w:rPr>
        <w:fldChar w:fldCharType="separate"/>
      </w:r>
      <w:r>
        <w:rPr>
          <w:rStyle w:val="37"/>
          <w:rFonts w:hint="eastAsia" w:ascii="宋体" w:hAnsi="宋体" w:eastAsia="宋体"/>
          <w:color w:val="auto"/>
          <w:sz w:val="30"/>
          <w:szCs w:val="30"/>
          <w:highlight w:val="none"/>
        </w:rPr>
        <w:t>第二章　投标人须知</w:t>
      </w:r>
      <w:r>
        <w:rPr>
          <w:rFonts w:eastAsia="宋体"/>
          <w:sz w:val="30"/>
          <w:szCs w:val="30"/>
          <w:highlight w:val="none"/>
        </w:rPr>
        <w:tab/>
      </w:r>
      <w:r>
        <w:rPr>
          <w:rFonts w:eastAsia="宋体"/>
          <w:sz w:val="30"/>
          <w:szCs w:val="30"/>
          <w:highlight w:val="none"/>
        </w:rPr>
        <w:fldChar w:fldCharType="begin"/>
      </w:r>
      <w:r>
        <w:rPr>
          <w:rFonts w:eastAsia="宋体"/>
          <w:sz w:val="30"/>
          <w:szCs w:val="30"/>
          <w:highlight w:val="none"/>
        </w:rPr>
        <w:instrText xml:space="preserve"> PAGEREF _Toc213847314 \h </w:instrText>
      </w:r>
      <w:r>
        <w:rPr>
          <w:rFonts w:eastAsia="宋体"/>
          <w:sz w:val="30"/>
          <w:szCs w:val="30"/>
          <w:highlight w:val="none"/>
        </w:rPr>
        <w:fldChar w:fldCharType="separate"/>
      </w:r>
      <w:r>
        <w:rPr>
          <w:rFonts w:eastAsia="宋体"/>
          <w:sz w:val="30"/>
          <w:szCs w:val="30"/>
          <w:highlight w:val="none"/>
        </w:rPr>
        <w:t>- 5 -</w:t>
      </w:r>
      <w:r>
        <w:rPr>
          <w:rFonts w:eastAsia="宋体"/>
          <w:sz w:val="30"/>
          <w:szCs w:val="30"/>
          <w:highlight w:val="none"/>
        </w:rPr>
        <w:fldChar w:fldCharType="end"/>
      </w:r>
      <w:r>
        <w:rPr>
          <w:rFonts w:eastAsia="宋体"/>
          <w:sz w:val="30"/>
          <w:szCs w:val="30"/>
          <w:highlight w:val="none"/>
        </w:rPr>
        <w:fldChar w:fldCharType="end"/>
      </w:r>
    </w:p>
    <w:p w14:paraId="110A60CE">
      <w:pPr>
        <w:pStyle w:val="22"/>
        <w:tabs>
          <w:tab w:val="right" w:leader="dot" w:pos="9402"/>
        </w:tabs>
        <w:spacing w:line="600" w:lineRule="exact"/>
        <w:rPr>
          <w:rFonts w:ascii="宋体" w:hAnsi="宋体" w:eastAsia="宋体"/>
          <w:bCs w:val="0"/>
          <w:caps w:val="0"/>
          <w:sz w:val="30"/>
          <w:szCs w:val="30"/>
          <w:highlight w:val="none"/>
        </w:rPr>
      </w:pPr>
      <w:r>
        <w:rPr>
          <w:highlight w:val="none"/>
        </w:rPr>
        <w:fldChar w:fldCharType="begin"/>
      </w:r>
      <w:r>
        <w:rPr>
          <w:highlight w:val="none"/>
        </w:rPr>
        <w:instrText xml:space="preserve"> HYPERLINK \l "_Toc213847315" </w:instrText>
      </w:r>
      <w:r>
        <w:rPr>
          <w:highlight w:val="none"/>
        </w:rPr>
        <w:fldChar w:fldCharType="separate"/>
      </w:r>
      <w:r>
        <w:rPr>
          <w:rStyle w:val="37"/>
          <w:rFonts w:hint="eastAsia" w:ascii="宋体" w:hAnsi="宋体" w:eastAsia="宋体"/>
          <w:color w:val="auto"/>
          <w:sz w:val="30"/>
          <w:szCs w:val="30"/>
          <w:highlight w:val="none"/>
        </w:rPr>
        <w:t>第三章　项目要求和有关说明</w:t>
      </w:r>
      <w:r>
        <w:rPr>
          <w:rFonts w:eastAsia="宋体"/>
          <w:sz w:val="30"/>
          <w:szCs w:val="30"/>
          <w:highlight w:val="none"/>
        </w:rPr>
        <w:tab/>
      </w:r>
      <w:r>
        <w:rPr>
          <w:rFonts w:eastAsia="宋体"/>
          <w:sz w:val="30"/>
          <w:szCs w:val="30"/>
          <w:highlight w:val="none"/>
        </w:rPr>
        <w:fldChar w:fldCharType="begin"/>
      </w:r>
      <w:r>
        <w:rPr>
          <w:rFonts w:eastAsia="宋体"/>
          <w:sz w:val="30"/>
          <w:szCs w:val="30"/>
          <w:highlight w:val="none"/>
        </w:rPr>
        <w:instrText xml:space="preserve"> PAGEREF _Toc213847315 \h </w:instrText>
      </w:r>
      <w:r>
        <w:rPr>
          <w:rFonts w:eastAsia="宋体"/>
          <w:sz w:val="30"/>
          <w:szCs w:val="30"/>
          <w:highlight w:val="none"/>
        </w:rPr>
        <w:fldChar w:fldCharType="separate"/>
      </w:r>
      <w:r>
        <w:rPr>
          <w:rFonts w:eastAsia="宋体"/>
          <w:sz w:val="30"/>
          <w:szCs w:val="30"/>
          <w:highlight w:val="none"/>
        </w:rPr>
        <w:t>- 18 -</w:t>
      </w:r>
      <w:r>
        <w:rPr>
          <w:rFonts w:eastAsia="宋体"/>
          <w:sz w:val="30"/>
          <w:szCs w:val="30"/>
          <w:highlight w:val="none"/>
        </w:rPr>
        <w:fldChar w:fldCharType="end"/>
      </w:r>
      <w:r>
        <w:rPr>
          <w:rFonts w:eastAsia="宋体"/>
          <w:sz w:val="30"/>
          <w:szCs w:val="30"/>
          <w:highlight w:val="none"/>
        </w:rPr>
        <w:fldChar w:fldCharType="end"/>
      </w:r>
    </w:p>
    <w:p w14:paraId="0C130AF8">
      <w:pPr>
        <w:pStyle w:val="22"/>
        <w:tabs>
          <w:tab w:val="right" w:leader="dot" w:pos="9402"/>
        </w:tabs>
        <w:spacing w:line="600" w:lineRule="exact"/>
        <w:rPr>
          <w:rFonts w:ascii="宋体" w:hAnsi="宋体" w:eastAsia="宋体"/>
          <w:bCs w:val="0"/>
          <w:caps w:val="0"/>
          <w:sz w:val="30"/>
          <w:szCs w:val="30"/>
          <w:highlight w:val="none"/>
        </w:rPr>
      </w:pPr>
      <w:r>
        <w:rPr>
          <w:highlight w:val="none"/>
        </w:rPr>
        <w:fldChar w:fldCharType="begin"/>
      </w:r>
      <w:r>
        <w:rPr>
          <w:highlight w:val="none"/>
        </w:rPr>
        <w:instrText xml:space="preserve"> HYPERLINK \l "_Toc213847316" </w:instrText>
      </w:r>
      <w:r>
        <w:rPr>
          <w:highlight w:val="none"/>
        </w:rPr>
        <w:fldChar w:fldCharType="separate"/>
      </w:r>
      <w:r>
        <w:rPr>
          <w:rStyle w:val="37"/>
          <w:rFonts w:hint="eastAsia" w:ascii="宋体" w:hAnsi="宋体" w:eastAsia="宋体"/>
          <w:color w:val="auto"/>
          <w:sz w:val="30"/>
          <w:szCs w:val="30"/>
          <w:highlight w:val="none"/>
        </w:rPr>
        <w:t>第四章</w:t>
      </w:r>
      <w:r>
        <w:rPr>
          <w:rStyle w:val="37"/>
          <w:rFonts w:ascii="宋体" w:hAnsi="宋体" w:eastAsia="宋体"/>
          <w:color w:val="auto"/>
          <w:sz w:val="30"/>
          <w:szCs w:val="30"/>
          <w:highlight w:val="none"/>
        </w:rPr>
        <w:t xml:space="preserve">  </w:t>
      </w:r>
      <w:r>
        <w:rPr>
          <w:rStyle w:val="37"/>
          <w:rFonts w:hint="eastAsia" w:ascii="宋体" w:hAnsi="宋体" w:eastAsia="宋体"/>
          <w:color w:val="auto"/>
          <w:sz w:val="30"/>
          <w:szCs w:val="30"/>
          <w:highlight w:val="none"/>
        </w:rPr>
        <w:t>评标方法和评标标准</w:t>
      </w:r>
      <w:r>
        <w:rPr>
          <w:rFonts w:eastAsia="宋体"/>
          <w:sz w:val="30"/>
          <w:szCs w:val="30"/>
          <w:highlight w:val="none"/>
        </w:rPr>
        <w:tab/>
      </w:r>
      <w:r>
        <w:rPr>
          <w:rFonts w:eastAsia="宋体"/>
          <w:sz w:val="30"/>
          <w:szCs w:val="30"/>
          <w:highlight w:val="none"/>
        </w:rPr>
        <w:fldChar w:fldCharType="begin"/>
      </w:r>
      <w:r>
        <w:rPr>
          <w:rFonts w:eastAsia="宋体"/>
          <w:sz w:val="30"/>
          <w:szCs w:val="30"/>
          <w:highlight w:val="none"/>
        </w:rPr>
        <w:instrText xml:space="preserve"> PAGEREF _Toc213847316 \h </w:instrText>
      </w:r>
      <w:r>
        <w:rPr>
          <w:rFonts w:eastAsia="宋体"/>
          <w:sz w:val="30"/>
          <w:szCs w:val="30"/>
          <w:highlight w:val="none"/>
        </w:rPr>
        <w:fldChar w:fldCharType="separate"/>
      </w:r>
      <w:r>
        <w:rPr>
          <w:rFonts w:eastAsia="宋体"/>
          <w:sz w:val="30"/>
          <w:szCs w:val="30"/>
          <w:highlight w:val="none"/>
        </w:rPr>
        <w:t>- 34 -</w:t>
      </w:r>
      <w:r>
        <w:rPr>
          <w:rFonts w:eastAsia="宋体"/>
          <w:sz w:val="30"/>
          <w:szCs w:val="30"/>
          <w:highlight w:val="none"/>
        </w:rPr>
        <w:fldChar w:fldCharType="end"/>
      </w:r>
      <w:r>
        <w:rPr>
          <w:rFonts w:eastAsia="宋体"/>
          <w:sz w:val="30"/>
          <w:szCs w:val="30"/>
          <w:highlight w:val="none"/>
        </w:rPr>
        <w:fldChar w:fldCharType="end"/>
      </w:r>
    </w:p>
    <w:p w14:paraId="0C6EC263">
      <w:pPr>
        <w:pStyle w:val="22"/>
        <w:tabs>
          <w:tab w:val="right" w:leader="dot" w:pos="9402"/>
        </w:tabs>
        <w:spacing w:line="600" w:lineRule="exact"/>
        <w:rPr>
          <w:rFonts w:ascii="宋体" w:hAnsi="宋体" w:eastAsia="宋体"/>
          <w:bCs w:val="0"/>
          <w:caps w:val="0"/>
          <w:sz w:val="30"/>
          <w:szCs w:val="30"/>
          <w:highlight w:val="none"/>
        </w:rPr>
      </w:pPr>
      <w:r>
        <w:rPr>
          <w:highlight w:val="none"/>
        </w:rPr>
        <w:fldChar w:fldCharType="begin"/>
      </w:r>
      <w:r>
        <w:rPr>
          <w:highlight w:val="none"/>
        </w:rPr>
        <w:instrText xml:space="preserve"> HYPERLINK \l "_Toc213847317" </w:instrText>
      </w:r>
      <w:r>
        <w:rPr>
          <w:highlight w:val="none"/>
        </w:rPr>
        <w:fldChar w:fldCharType="separate"/>
      </w:r>
      <w:r>
        <w:rPr>
          <w:rStyle w:val="37"/>
          <w:rFonts w:hint="eastAsia" w:ascii="宋体" w:hAnsi="宋体" w:eastAsia="宋体"/>
          <w:color w:val="auto"/>
          <w:sz w:val="30"/>
          <w:szCs w:val="30"/>
          <w:highlight w:val="none"/>
        </w:rPr>
        <w:t>第五章　合同书（格式）</w:t>
      </w:r>
      <w:r>
        <w:rPr>
          <w:rFonts w:eastAsia="宋体"/>
          <w:sz w:val="30"/>
          <w:szCs w:val="30"/>
          <w:highlight w:val="none"/>
        </w:rPr>
        <w:tab/>
      </w:r>
      <w:r>
        <w:rPr>
          <w:rFonts w:eastAsia="宋体"/>
          <w:sz w:val="30"/>
          <w:szCs w:val="30"/>
          <w:highlight w:val="none"/>
        </w:rPr>
        <w:fldChar w:fldCharType="begin"/>
      </w:r>
      <w:r>
        <w:rPr>
          <w:rFonts w:eastAsia="宋体"/>
          <w:sz w:val="30"/>
          <w:szCs w:val="30"/>
          <w:highlight w:val="none"/>
        </w:rPr>
        <w:instrText xml:space="preserve"> PAGEREF _Toc213847317 \h </w:instrText>
      </w:r>
      <w:r>
        <w:rPr>
          <w:rFonts w:eastAsia="宋体"/>
          <w:sz w:val="30"/>
          <w:szCs w:val="30"/>
          <w:highlight w:val="none"/>
        </w:rPr>
        <w:fldChar w:fldCharType="separate"/>
      </w:r>
      <w:r>
        <w:rPr>
          <w:rFonts w:eastAsia="宋体"/>
          <w:sz w:val="30"/>
          <w:szCs w:val="30"/>
          <w:highlight w:val="none"/>
        </w:rPr>
        <w:t>- 3</w:t>
      </w:r>
      <w:r>
        <w:rPr>
          <w:rFonts w:hint="eastAsia" w:eastAsia="宋体"/>
          <w:sz w:val="30"/>
          <w:szCs w:val="30"/>
          <w:highlight w:val="none"/>
          <w:lang w:val="en-US" w:eastAsia="zh-CN"/>
        </w:rPr>
        <w:t>9</w:t>
      </w:r>
      <w:r>
        <w:rPr>
          <w:rFonts w:eastAsia="宋体"/>
          <w:sz w:val="30"/>
          <w:szCs w:val="30"/>
          <w:highlight w:val="none"/>
        </w:rPr>
        <w:t xml:space="preserve"> -</w:t>
      </w:r>
      <w:r>
        <w:rPr>
          <w:rFonts w:eastAsia="宋体"/>
          <w:sz w:val="30"/>
          <w:szCs w:val="30"/>
          <w:highlight w:val="none"/>
        </w:rPr>
        <w:fldChar w:fldCharType="end"/>
      </w:r>
      <w:r>
        <w:rPr>
          <w:rFonts w:eastAsia="宋体"/>
          <w:sz w:val="30"/>
          <w:szCs w:val="30"/>
          <w:highlight w:val="none"/>
        </w:rPr>
        <w:fldChar w:fldCharType="end"/>
      </w:r>
    </w:p>
    <w:p w14:paraId="42E4283D">
      <w:pPr>
        <w:pStyle w:val="22"/>
        <w:tabs>
          <w:tab w:val="right" w:leader="dot" w:pos="9402"/>
        </w:tabs>
        <w:spacing w:line="600" w:lineRule="exact"/>
        <w:rPr>
          <w:rFonts w:ascii="宋体" w:hAnsi="宋体" w:eastAsia="宋体"/>
          <w:b w:val="0"/>
          <w:bCs w:val="0"/>
          <w:caps w:val="0"/>
          <w:sz w:val="30"/>
          <w:szCs w:val="30"/>
          <w:highlight w:val="none"/>
        </w:rPr>
      </w:pPr>
      <w:r>
        <w:rPr>
          <w:highlight w:val="none"/>
        </w:rPr>
        <w:fldChar w:fldCharType="begin"/>
      </w:r>
      <w:r>
        <w:rPr>
          <w:highlight w:val="none"/>
        </w:rPr>
        <w:instrText xml:space="preserve"> HYPERLINK \l "_Toc213847318" </w:instrText>
      </w:r>
      <w:r>
        <w:rPr>
          <w:highlight w:val="none"/>
        </w:rPr>
        <w:fldChar w:fldCharType="separate"/>
      </w:r>
      <w:r>
        <w:rPr>
          <w:rStyle w:val="37"/>
          <w:rFonts w:hint="eastAsia" w:ascii="宋体" w:hAnsi="宋体" w:eastAsia="宋体"/>
          <w:color w:val="auto"/>
          <w:sz w:val="30"/>
          <w:szCs w:val="30"/>
          <w:highlight w:val="none"/>
        </w:rPr>
        <w:t>第六章　投标文件的组成和格式</w:t>
      </w:r>
      <w:r>
        <w:rPr>
          <w:rFonts w:eastAsia="宋体"/>
          <w:sz w:val="30"/>
          <w:szCs w:val="30"/>
          <w:highlight w:val="none"/>
        </w:rPr>
        <w:tab/>
      </w:r>
      <w:r>
        <w:rPr>
          <w:rFonts w:eastAsia="宋体"/>
          <w:sz w:val="30"/>
          <w:szCs w:val="30"/>
          <w:highlight w:val="none"/>
        </w:rPr>
        <w:fldChar w:fldCharType="begin"/>
      </w:r>
      <w:r>
        <w:rPr>
          <w:rFonts w:eastAsia="宋体"/>
          <w:sz w:val="30"/>
          <w:szCs w:val="30"/>
          <w:highlight w:val="none"/>
        </w:rPr>
        <w:instrText xml:space="preserve"> PAGEREF _Toc213847318 \h </w:instrText>
      </w:r>
      <w:r>
        <w:rPr>
          <w:rFonts w:eastAsia="宋体"/>
          <w:sz w:val="30"/>
          <w:szCs w:val="30"/>
          <w:highlight w:val="none"/>
        </w:rPr>
        <w:fldChar w:fldCharType="separate"/>
      </w:r>
      <w:r>
        <w:rPr>
          <w:rFonts w:eastAsia="宋体"/>
          <w:sz w:val="30"/>
          <w:szCs w:val="30"/>
          <w:highlight w:val="none"/>
        </w:rPr>
        <w:t>- 42 -</w:t>
      </w:r>
      <w:r>
        <w:rPr>
          <w:rFonts w:eastAsia="宋体"/>
          <w:sz w:val="30"/>
          <w:szCs w:val="30"/>
          <w:highlight w:val="none"/>
        </w:rPr>
        <w:fldChar w:fldCharType="end"/>
      </w:r>
      <w:r>
        <w:rPr>
          <w:rFonts w:eastAsia="宋体"/>
          <w:sz w:val="30"/>
          <w:szCs w:val="30"/>
          <w:highlight w:val="none"/>
        </w:rPr>
        <w:fldChar w:fldCharType="end"/>
      </w:r>
    </w:p>
    <w:p w14:paraId="41023849">
      <w:pPr>
        <w:pStyle w:val="28"/>
        <w:spacing w:before="120" w:after="120" w:line="600" w:lineRule="exact"/>
        <w:rPr>
          <w:highlight w:val="none"/>
        </w:rPr>
        <w:sectPr>
          <w:footerReference r:id="rId5" w:type="even"/>
          <w:pgSz w:w="11906" w:h="16838"/>
          <w:pgMar w:top="1247" w:right="1247" w:bottom="1247" w:left="1247" w:header="680" w:footer="992" w:gutter="0"/>
          <w:pgNumType w:fmt="numberInDash" w:start="1"/>
          <w:cols w:space="720" w:num="1"/>
          <w:docGrid w:linePitch="312" w:charSpace="0"/>
        </w:sectPr>
      </w:pPr>
      <w:r>
        <w:rPr>
          <w:rFonts w:ascii="宋体" w:hAnsi="宋体" w:eastAsia="宋体" w:cs="Times New Roman"/>
          <w:szCs w:val="30"/>
          <w:highlight w:val="none"/>
        </w:rPr>
        <w:fldChar w:fldCharType="end"/>
      </w:r>
      <w:bookmarkStart w:id="4" w:name="_Toc166593357"/>
      <w:bookmarkStart w:id="5" w:name="_Toc166593155"/>
    </w:p>
    <w:p w14:paraId="46E4A6BF">
      <w:pPr>
        <w:pStyle w:val="28"/>
        <w:rPr>
          <w:highlight w:val="none"/>
        </w:rPr>
      </w:pPr>
    </w:p>
    <w:p w14:paraId="61836E90">
      <w:pPr>
        <w:pStyle w:val="28"/>
        <w:rPr>
          <w:highlight w:val="none"/>
        </w:rPr>
      </w:pPr>
      <w:bookmarkStart w:id="6" w:name="_Toc213847313"/>
      <w:r>
        <w:rPr>
          <w:rFonts w:hint="eastAsia"/>
          <w:highlight w:val="none"/>
        </w:rPr>
        <w:t>第一章　投标邀请</w:t>
      </w:r>
      <w:bookmarkEnd w:id="4"/>
      <w:bookmarkEnd w:id="5"/>
      <w:bookmarkEnd w:id="6"/>
    </w:p>
    <w:p w14:paraId="5B311F2F">
      <w:pPr>
        <w:spacing w:line="400" w:lineRule="exact"/>
        <w:jc w:val="center"/>
        <w:outlineLvl w:val="0"/>
        <w:rPr>
          <w:rFonts w:ascii="宋体" w:hAnsi="宋体" w:eastAsia="宋体" w:cs="Times New Roman"/>
          <w:b/>
          <w:bCs/>
          <w:sz w:val="24"/>
          <w:szCs w:val="24"/>
          <w:highlight w:val="none"/>
        </w:rPr>
      </w:pPr>
    </w:p>
    <w:p w14:paraId="37393216">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项目概况</w:t>
      </w:r>
    </w:p>
    <w:p w14:paraId="4398672C">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lang w:eastAsia="zh-CN"/>
        </w:rPr>
        <w:t>江阴公路泵站智能化提升项目</w:t>
      </w:r>
      <w:r>
        <w:rPr>
          <w:rFonts w:hint="eastAsia" w:ascii="宋体" w:hAnsi="宋体" w:eastAsia="宋体" w:cs="Times New Roman"/>
          <w:bCs/>
          <w:sz w:val="24"/>
          <w:szCs w:val="24"/>
          <w:highlight w:val="none"/>
          <w:lang w:eastAsia="zh-CN"/>
        </w:rPr>
        <w:t>JSZC-320281-JZCG-G2026-0026</w:t>
      </w:r>
      <w:r>
        <w:rPr>
          <w:rFonts w:ascii="宋体" w:hAnsi="宋体" w:eastAsia="宋体" w:cs="Times New Roman"/>
          <w:sz w:val="24"/>
          <w:szCs w:val="24"/>
          <w:highlight w:val="none"/>
        </w:rPr>
        <w:t xml:space="preserve"> 招标项目的潜在投标人应在</w:t>
      </w:r>
      <w:r>
        <w:rPr>
          <w:rFonts w:hint="eastAsia" w:ascii="宋体" w:hAnsi="宋体" w:eastAsia="宋体" w:cs="Times New Roman"/>
          <w:sz w:val="24"/>
          <w:szCs w:val="24"/>
          <w:highlight w:val="none"/>
        </w:rPr>
        <w:t>江苏省政府采购（苏采云）平台</w:t>
      </w:r>
      <w:r>
        <w:rPr>
          <w:rFonts w:ascii="宋体" w:hAnsi="宋体" w:eastAsia="宋体" w:cs="Times New Roman"/>
          <w:sz w:val="24"/>
          <w:szCs w:val="24"/>
          <w:highlight w:val="none"/>
        </w:rPr>
        <w:t>获取招标文件，并</w:t>
      </w:r>
      <w:r>
        <w:rPr>
          <w:rFonts w:hint="eastAsia" w:ascii="宋体" w:hAnsi="宋体" w:eastAsia="宋体" w:cs="Times New Roman"/>
          <w:sz w:val="24"/>
          <w:szCs w:val="24"/>
          <w:highlight w:val="none"/>
        </w:rPr>
        <w:t>于</w:t>
      </w: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0</w:t>
      </w:r>
      <w:r>
        <w:rPr>
          <w:rFonts w:hint="eastAsia" w:ascii="宋体" w:hAnsi="宋体" w:eastAsia="宋体" w:cs="Times New Roman"/>
          <w:sz w:val="24"/>
          <w:szCs w:val="24"/>
          <w:highlight w:val="none"/>
          <w:lang w:val="en-US" w:eastAsia="zh-CN"/>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03</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13</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3</w:t>
      </w:r>
      <w:r>
        <w:rPr>
          <w:rFonts w:ascii="宋体" w:hAnsi="宋体" w:eastAsia="宋体" w:cs="Times New Roman"/>
          <w:sz w:val="24"/>
          <w:szCs w:val="24"/>
          <w:highlight w:val="none"/>
        </w:rPr>
        <w:t>0 （北京时间）前递交投标文件。</w:t>
      </w:r>
    </w:p>
    <w:p w14:paraId="529E91D4">
      <w:pPr>
        <w:spacing w:line="400" w:lineRule="exact"/>
        <w:rPr>
          <w:rFonts w:ascii="宋体" w:hAnsi="宋体" w:eastAsia="宋体" w:cs="Times New Roman"/>
          <w:b/>
          <w:sz w:val="24"/>
          <w:szCs w:val="24"/>
          <w:highlight w:val="none"/>
        </w:rPr>
      </w:pPr>
      <w:bookmarkStart w:id="7" w:name="_Toc166593156"/>
      <w:bookmarkStart w:id="8" w:name="_Toc166593358"/>
    </w:p>
    <w:p w14:paraId="52ED89EB">
      <w:pPr>
        <w:spacing w:line="400" w:lineRule="exact"/>
        <w:rPr>
          <w:rFonts w:ascii="宋体" w:hAnsi="宋体" w:eastAsia="宋体" w:cs="Times New Roman"/>
          <w:sz w:val="24"/>
          <w:szCs w:val="24"/>
          <w:highlight w:val="none"/>
        </w:rPr>
      </w:pPr>
      <w:r>
        <w:rPr>
          <w:rFonts w:ascii="宋体" w:hAnsi="宋体" w:eastAsia="宋体" w:cs="Times New Roman"/>
          <w:b/>
          <w:sz w:val="24"/>
          <w:szCs w:val="24"/>
          <w:highlight w:val="none"/>
        </w:rPr>
        <w:t>一、项目基本情况</w:t>
      </w:r>
    </w:p>
    <w:p w14:paraId="35F9725E">
      <w:pPr>
        <w:spacing w:line="400" w:lineRule="exact"/>
        <w:ind w:firstLine="480" w:firstLineChars="200"/>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rPr>
        <w:t>项目编号：</w:t>
      </w:r>
      <w:r>
        <w:rPr>
          <w:rFonts w:hint="eastAsia" w:ascii="宋体" w:hAnsi="宋体" w:eastAsia="宋体" w:cs="Times New Roman"/>
          <w:bCs/>
          <w:sz w:val="24"/>
          <w:szCs w:val="24"/>
          <w:highlight w:val="none"/>
          <w:lang w:eastAsia="zh-CN"/>
        </w:rPr>
        <w:t>JSZC-320281-JZCG-G2026-0026</w:t>
      </w:r>
    </w:p>
    <w:p w14:paraId="22F467A5">
      <w:pPr>
        <w:spacing w:line="400" w:lineRule="exact"/>
        <w:ind w:firstLine="480" w:firstLineChars="200"/>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rPr>
        <w:t>项目名称：</w:t>
      </w:r>
      <w:r>
        <w:rPr>
          <w:rFonts w:hint="eastAsia" w:ascii="宋体" w:hAnsi="宋体" w:eastAsia="宋体" w:cs="Times New Roman"/>
          <w:sz w:val="24"/>
          <w:szCs w:val="24"/>
          <w:highlight w:val="none"/>
          <w:lang w:eastAsia="zh-CN"/>
        </w:rPr>
        <w:t>江阴公路泵站智能化提升项目</w:t>
      </w:r>
    </w:p>
    <w:p w14:paraId="2EAA3B2A">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预算金额：</w:t>
      </w:r>
      <w:r>
        <w:rPr>
          <w:rFonts w:hint="eastAsia" w:ascii="宋体" w:hAnsi="宋体" w:eastAsia="宋体" w:cs="Times New Roman"/>
          <w:sz w:val="24"/>
          <w:szCs w:val="24"/>
          <w:highlight w:val="none"/>
          <w:lang w:val="en-US" w:eastAsia="zh-CN"/>
        </w:rPr>
        <w:t>140</w:t>
      </w:r>
      <w:r>
        <w:rPr>
          <w:rFonts w:hint="eastAsia" w:ascii="宋体" w:hAnsi="宋体" w:eastAsia="宋体" w:cs="Times New Roman"/>
          <w:sz w:val="24"/>
          <w:szCs w:val="24"/>
          <w:highlight w:val="none"/>
        </w:rPr>
        <w:t>万元</w:t>
      </w:r>
    </w:p>
    <w:p w14:paraId="64C9DDE0">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最高限价：</w:t>
      </w:r>
      <w:r>
        <w:rPr>
          <w:rFonts w:hint="eastAsia" w:ascii="宋体" w:hAnsi="宋体" w:eastAsia="宋体" w:cs="Times New Roman"/>
          <w:sz w:val="24"/>
          <w:szCs w:val="24"/>
          <w:highlight w:val="none"/>
          <w:lang w:val="en-US" w:eastAsia="zh-CN"/>
        </w:rPr>
        <w:t>140</w:t>
      </w:r>
      <w:r>
        <w:rPr>
          <w:rFonts w:hint="eastAsia" w:ascii="宋体" w:hAnsi="宋体" w:eastAsia="宋体" w:cs="Times New Roman"/>
          <w:sz w:val="24"/>
          <w:szCs w:val="24"/>
          <w:highlight w:val="none"/>
        </w:rPr>
        <w:t>万元</w:t>
      </w:r>
    </w:p>
    <w:p w14:paraId="2FB1ED92">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采购方式：公开招标</w:t>
      </w:r>
    </w:p>
    <w:p w14:paraId="6FEC1089">
      <w:pPr>
        <w:spacing w:line="400" w:lineRule="exact"/>
        <w:ind w:firstLine="480" w:firstLineChars="200"/>
        <w:rPr>
          <w:rFonts w:ascii="宋体" w:hAnsi="宋体" w:eastAsia="宋体" w:cs="Times New Roman"/>
          <w:sz w:val="24"/>
          <w:szCs w:val="28"/>
          <w:highlight w:val="none"/>
        </w:rPr>
      </w:pPr>
      <w:r>
        <w:rPr>
          <w:rFonts w:ascii="宋体" w:hAnsi="宋体" w:eastAsia="宋体" w:cs="Times New Roman"/>
          <w:sz w:val="24"/>
          <w:szCs w:val="24"/>
          <w:highlight w:val="none"/>
        </w:rPr>
        <w:t>采购需求：</w:t>
      </w:r>
      <w:r>
        <w:rPr>
          <w:rFonts w:hint="eastAsia" w:ascii="宋体" w:hAnsi="宋体" w:eastAsia="宋体" w:cs="Times New Roman"/>
          <w:sz w:val="24"/>
          <w:szCs w:val="24"/>
          <w:highlight w:val="none"/>
        </w:rPr>
        <w:t>本项目为</w:t>
      </w:r>
      <w:r>
        <w:rPr>
          <w:rFonts w:hint="eastAsia" w:ascii="宋体" w:hAnsi="宋体" w:eastAsia="宋体" w:cs="Times New Roman"/>
          <w:sz w:val="24"/>
          <w:szCs w:val="24"/>
          <w:highlight w:val="none"/>
          <w:lang w:eastAsia="zh-CN"/>
        </w:rPr>
        <w:t>江阴市公路事业发展中心的江阴公路泵站智能化提升项目</w:t>
      </w:r>
      <w:r>
        <w:rPr>
          <w:rFonts w:hint="eastAsia" w:ascii="宋体" w:hAnsi="宋体" w:eastAsia="宋体" w:cs="Times New Roman"/>
          <w:sz w:val="24"/>
          <w:szCs w:val="28"/>
          <w:highlight w:val="none"/>
        </w:rPr>
        <w:t>。</w:t>
      </w:r>
      <w:r>
        <w:rPr>
          <w:rFonts w:hint="eastAsia" w:ascii="宋体" w:hAnsi="宋体" w:eastAsia="宋体" w:cs="Times New Roman"/>
          <w:bCs/>
          <w:sz w:val="24"/>
          <w:szCs w:val="24"/>
          <w:highlight w:val="none"/>
        </w:rPr>
        <w:t>（详见招标文件）</w:t>
      </w:r>
    </w:p>
    <w:p w14:paraId="6C9C870E">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合同履行期限：</w:t>
      </w:r>
      <w:r>
        <w:rPr>
          <w:rFonts w:hint="eastAsia" w:ascii="宋体" w:hAnsi="宋体" w:eastAsia="宋体" w:cs="Times New Roman"/>
          <w:sz w:val="24"/>
          <w:szCs w:val="24"/>
          <w:highlight w:val="none"/>
        </w:rPr>
        <w:t>详见招标文件</w:t>
      </w:r>
    </w:p>
    <w:p w14:paraId="65979ADA">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本项目（是/否）接受联合体投标</w:t>
      </w:r>
      <w:r>
        <w:rPr>
          <w:rFonts w:hint="eastAsia" w:ascii="宋体" w:hAnsi="宋体" w:eastAsia="宋体" w:cs="Times New Roman"/>
          <w:sz w:val="24"/>
          <w:szCs w:val="24"/>
          <w:highlight w:val="none"/>
        </w:rPr>
        <w:t>：否</w:t>
      </w:r>
    </w:p>
    <w:p w14:paraId="3E0F4183">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二、申请人的资格要求</w:t>
      </w:r>
    </w:p>
    <w:p w14:paraId="469D87B4">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（一）满足《中华人民共和国政府采购法》第二十二条规定；</w:t>
      </w:r>
    </w:p>
    <w:p w14:paraId="0C761E2A">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1.提供格式条款《关于资格的声明函》</w:t>
      </w:r>
    </w:p>
    <w:p w14:paraId="4CB20702">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2.法定代表人授权委托书（法定代表人签署投标/响应文件且亲自参与的必须提供《法定代表人亲自投标/磋商/谈判/询价声明》）</w:t>
      </w:r>
    </w:p>
    <w:p w14:paraId="1F73E91E">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3.未被“信用中国”网站列入失信被执行人、重大税收违法失信主体、政府采购严重违法失信行为信息记录名单（无需提供证明材料）</w:t>
      </w:r>
    </w:p>
    <w:p w14:paraId="72062CC7">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 xml:space="preserve">（二）落实政府采购政策需满足的资格要求： </w:t>
      </w:r>
    </w:p>
    <w:p w14:paraId="53CD8B90">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4E3A5C1B">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（三）本项目的特定资格要求：</w:t>
      </w:r>
      <w:r>
        <w:rPr>
          <w:rFonts w:hint="eastAsia" w:ascii="宋体" w:hAnsi="宋体"/>
          <w:sz w:val="24"/>
          <w:highlight w:val="none"/>
        </w:rPr>
        <w:t>无</w:t>
      </w:r>
      <w:r>
        <w:rPr>
          <w:rFonts w:hint="eastAsia" w:ascii="宋体" w:hAnsi="宋体" w:eastAsia="宋体" w:cs="Times New Roman"/>
          <w:sz w:val="24"/>
          <w:szCs w:val="24"/>
          <w:highlight w:val="none"/>
        </w:rPr>
        <w:t>。</w:t>
      </w:r>
    </w:p>
    <w:p w14:paraId="12F093D8">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三、获取招标文件</w:t>
      </w:r>
    </w:p>
    <w:p w14:paraId="2E471617">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时间：</w:t>
      </w:r>
      <w:r>
        <w:rPr>
          <w:rFonts w:hint="eastAsia" w:ascii="宋体" w:hAnsi="宋体" w:eastAsia="宋体" w:cs="Times New Roman"/>
          <w:sz w:val="24"/>
          <w:szCs w:val="24"/>
          <w:highlight w:val="none"/>
        </w:rPr>
        <w:t>自招标文件公告发布之日起5个工作日</w:t>
      </w:r>
    </w:p>
    <w:p w14:paraId="60A2626C">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地点：</w:t>
      </w:r>
      <w:r>
        <w:rPr>
          <w:rFonts w:hint="eastAsia" w:ascii="宋体" w:hAnsi="宋体" w:eastAsia="宋体" w:cs="Times New Roman"/>
          <w:sz w:val="24"/>
          <w:szCs w:val="24"/>
          <w:highlight w:val="none"/>
        </w:rPr>
        <w:t>江苏省政府采购（苏采云）平台</w:t>
      </w:r>
    </w:p>
    <w:p w14:paraId="595CC756">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方式：</w:t>
      </w:r>
      <w:r>
        <w:rPr>
          <w:rFonts w:hint="eastAsia" w:ascii="宋体" w:hAnsi="宋体" w:eastAsia="宋体" w:cs="Times New Roman"/>
          <w:sz w:val="24"/>
          <w:szCs w:val="24"/>
          <w:highlight w:val="none"/>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2F58F2BA">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 xml:space="preserve">售价：0.00元 </w:t>
      </w:r>
    </w:p>
    <w:p w14:paraId="17C81FB6">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四、提交投标文件截止时间、开标时间和地点</w:t>
      </w:r>
    </w:p>
    <w:p w14:paraId="68F13319">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06</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03</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13</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3</w:t>
      </w:r>
      <w:r>
        <w:rPr>
          <w:rFonts w:ascii="宋体" w:hAnsi="宋体" w:eastAsia="宋体" w:cs="Times New Roman"/>
          <w:sz w:val="24"/>
          <w:szCs w:val="24"/>
          <w:highlight w:val="none"/>
        </w:rPr>
        <w:t xml:space="preserve">0（北京时间） </w:t>
      </w:r>
    </w:p>
    <w:p w14:paraId="18A9AFD8">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地点：</w:t>
      </w:r>
      <w:r>
        <w:rPr>
          <w:rFonts w:hint="eastAsia" w:ascii="宋体" w:hAnsi="宋体" w:eastAsia="宋体" w:cs="Times New Roman"/>
          <w:sz w:val="24"/>
          <w:szCs w:val="24"/>
          <w:highlight w:val="none"/>
        </w:rPr>
        <w:t>江苏省政府采购（苏采云）平台</w:t>
      </w:r>
    </w:p>
    <w:p w14:paraId="7E12C5B3">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五、公告期限</w:t>
      </w:r>
    </w:p>
    <w:p w14:paraId="60DA978B">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自本公告发布之日起5个工作日。</w:t>
      </w:r>
    </w:p>
    <w:p w14:paraId="75F5B06A">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六、其他补充事宜 </w:t>
      </w:r>
    </w:p>
    <w:p w14:paraId="07251EA8">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（一）供应商注册</w:t>
      </w:r>
    </w:p>
    <w:p w14:paraId="4E785403">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1.请有意参加本项目采购活动的供应商按以下流程进行操作：</w:t>
      </w:r>
    </w:p>
    <w:p w14:paraId="492D5F96">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（1）访问“江苏省政府采购（苏采云）平台”（以下简称“苏采云”）进行账号注册，注册完成后需在系统中填写资质信息并提交审核。也可以直接通过http://jszfcg.jsczt.cn/进入注册界面。</w:t>
      </w:r>
    </w:p>
    <w:p w14:paraId="4A9BCE72">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（2）办理“意源”CA数字证书和“方正”电子签章（办理地址：无锡市滨湖区观山路199号12号楼二楼9号、10号窗口 咨询电话：</w:t>
      </w:r>
      <w:r>
        <w:rPr>
          <w:rFonts w:ascii="宋体" w:hAnsi="宋体" w:eastAsia="宋体" w:cs="Times New Roman"/>
          <w:sz w:val="24"/>
          <w:szCs w:val="24"/>
          <w:highlight w:val="none"/>
        </w:rPr>
        <w:t>0510-81827781</w:t>
      </w:r>
      <w:r>
        <w:rPr>
          <w:rFonts w:hint="eastAsia" w:ascii="宋体" w:hAnsi="宋体" w:eastAsia="宋体" w:cs="Times New Roman"/>
          <w:sz w:val="24"/>
          <w:szCs w:val="24"/>
          <w:highlight w:val="none"/>
        </w:rPr>
        <w:t>），办理指南链接：http://jsxcmm.com/help/help.html。</w:t>
      </w:r>
    </w:p>
    <w:p w14:paraId="45EFF28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5B21B54B">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2.完成苏采云注册的供应商方可在苏采云中进行CA绑定。登录“江苏省政府采购（苏采云）平台”，插入CA后，点击【账号设置】——【绑定CA】。</w:t>
      </w:r>
    </w:p>
    <w:p w14:paraId="65235143">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3.供应商应按上述要求提供相关材料及注册登记信息，所提供的材料应均是真实的、准确的，若有违背，供应商自行承担由此而产生的一切后果。</w:t>
      </w:r>
    </w:p>
    <w:p w14:paraId="76F418A1">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7D977FAD">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技术服务电话：0510-88027623（服务时间：工作日 8:30-11:00,13:00-17:00）</w:t>
      </w:r>
    </w:p>
    <w:p w14:paraId="5BE04DB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（二）获取采购文件，完成项目参与</w:t>
      </w:r>
    </w:p>
    <w:p w14:paraId="279B119E">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4CD0CDAE">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2.供应商通过苏采云平台提交数据电文形式的响应文件，通过苏采云平台进入“开标大厅”开启（解密）响应文件。推荐使用谷歌浏览器，参与苏采云平台不见面开标。</w:t>
      </w:r>
    </w:p>
    <w:p w14:paraId="094CA283">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七、对本次招标提出询问，请按以下方式联系 </w:t>
      </w:r>
    </w:p>
    <w:p w14:paraId="114529B5">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 xml:space="preserve">1.采购人信息 </w:t>
      </w:r>
    </w:p>
    <w:p w14:paraId="4F57CA12">
      <w:pPr>
        <w:spacing w:line="4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单位名称：江阴市公路事业发展中心</w:t>
      </w:r>
    </w:p>
    <w:p w14:paraId="58BB6C7A">
      <w:pPr>
        <w:spacing w:line="4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单位地址：滨江中路207号</w:t>
      </w:r>
    </w:p>
    <w:p w14:paraId="5CB3DF8F">
      <w:pPr>
        <w:spacing w:line="400" w:lineRule="exact"/>
        <w:ind w:firstLine="480" w:firstLineChars="200"/>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项目联系人：张</w:t>
      </w:r>
      <w:r>
        <w:rPr>
          <w:rFonts w:hint="eastAsia" w:ascii="宋体" w:hAnsi="宋体" w:eastAsia="宋体" w:cs="Times New Roman"/>
          <w:sz w:val="24"/>
          <w:szCs w:val="24"/>
          <w:highlight w:val="none"/>
          <w:lang w:eastAsia="zh-CN"/>
        </w:rPr>
        <w:t>先生</w:t>
      </w:r>
    </w:p>
    <w:p w14:paraId="189B1BC3">
      <w:pPr>
        <w:spacing w:line="4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联系电话：</w:t>
      </w:r>
      <w:r>
        <w:rPr>
          <w:rFonts w:hint="eastAsia" w:ascii="宋体" w:hAnsi="宋体" w:eastAsia="宋体" w:cs="Times New Roman"/>
          <w:sz w:val="24"/>
          <w:szCs w:val="24"/>
          <w:highlight w:val="none"/>
          <w:lang w:val="en-US" w:eastAsia="zh-CN"/>
        </w:rPr>
        <w:t>0510-</w:t>
      </w:r>
      <w:r>
        <w:rPr>
          <w:rFonts w:hint="eastAsia" w:ascii="宋体" w:hAnsi="宋体" w:eastAsia="宋体" w:cs="Times New Roman"/>
          <w:sz w:val="24"/>
          <w:szCs w:val="24"/>
          <w:highlight w:val="none"/>
        </w:rPr>
        <w:t>80601328</w:t>
      </w:r>
    </w:p>
    <w:p w14:paraId="0EDD64C7">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2.采购代理机构信息</w:t>
      </w:r>
    </w:p>
    <w:p w14:paraId="562D18C9">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单位名称：</w:t>
      </w:r>
      <w:r>
        <w:rPr>
          <w:rFonts w:hint="eastAsia" w:ascii="宋体" w:hAnsi="宋体" w:eastAsia="宋体" w:cs="Times New Roman"/>
          <w:sz w:val="24"/>
          <w:szCs w:val="24"/>
          <w:highlight w:val="none"/>
        </w:rPr>
        <w:t>江阴市政府采购中心</w:t>
      </w:r>
    </w:p>
    <w:p w14:paraId="5CF6961D">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单位地址：</w:t>
      </w:r>
      <w:r>
        <w:rPr>
          <w:rFonts w:hint="eastAsia" w:ascii="宋体" w:hAnsi="宋体" w:eastAsia="宋体" w:cs="Times New Roman"/>
          <w:sz w:val="24"/>
          <w:szCs w:val="24"/>
          <w:highlight w:val="none"/>
        </w:rPr>
        <w:t>江阴市长江路188号6楼</w:t>
      </w:r>
    </w:p>
    <w:p w14:paraId="12578108">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联系人：</w:t>
      </w:r>
      <w:r>
        <w:rPr>
          <w:rFonts w:hint="eastAsia" w:ascii="宋体" w:hAnsi="宋体" w:eastAsia="宋体" w:cs="Times New Roman"/>
          <w:sz w:val="24"/>
          <w:szCs w:val="24"/>
          <w:highlight w:val="none"/>
          <w:lang w:eastAsia="zh-CN"/>
        </w:rPr>
        <w:t>刘</w:t>
      </w:r>
      <w:r>
        <w:rPr>
          <w:rFonts w:hint="eastAsia" w:ascii="宋体" w:hAnsi="宋体" w:eastAsia="宋体" w:cs="Times New Roman"/>
          <w:sz w:val="24"/>
          <w:szCs w:val="24"/>
          <w:highlight w:val="none"/>
        </w:rPr>
        <w:t xml:space="preserve">先生 </w:t>
      </w:r>
    </w:p>
    <w:p w14:paraId="06F05C80">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联系电话：0510-880276</w:t>
      </w:r>
      <w:r>
        <w:rPr>
          <w:rFonts w:hint="eastAsia" w:ascii="宋体" w:hAnsi="宋体" w:eastAsia="宋体" w:cs="Times New Roman"/>
          <w:sz w:val="24"/>
          <w:szCs w:val="24"/>
          <w:highlight w:val="none"/>
        </w:rPr>
        <w:t>21</w:t>
      </w:r>
    </w:p>
    <w:p w14:paraId="0633A2AD">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 xml:space="preserve">3.项目联系方式 </w:t>
      </w:r>
    </w:p>
    <w:p w14:paraId="6DEA2F33">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项目联系人：</w:t>
      </w:r>
      <w:r>
        <w:rPr>
          <w:rFonts w:hint="eastAsia" w:ascii="宋体" w:hAnsi="宋体" w:eastAsia="宋体" w:cs="Times New Roman"/>
          <w:sz w:val="24"/>
          <w:szCs w:val="24"/>
          <w:highlight w:val="none"/>
          <w:lang w:eastAsia="zh-CN"/>
        </w:rPr>
        <w:t>刘</w:t>
      </w:r>
      <w:r>
        <w:rPr>
          <w:rFonts w:hint="eastAsia" w:ascii="宋体" w:hAnsi="宋体" w:eastAsia="宋体" w:cs="Times New Roman"/>
          <w:sz w:val="24"/>
          <w:szCs w:val="24"/>
          <w:highlight w:val="none"/>
        </w:rPr>
        <w:t>先生</w:t>
      </w:r>
    </w:p>
    <w:p w14:paraId="1ABC61BD">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电话：0510-880276</w:t>
      </w:r>
      <w:r>
        <w:rPr>
          <w:rFonts w:hint="eastAsia" w:ascii="宋体" w:hAnsi="宋体" w:eastAsia="宋体" w:cs="Times New Roman"/>
          <w:sz w:val="24"/>
          <w:szCs w:val="24"/>
          <w:highlight w:val="none"/>
        </w:rPr>
        <w:t>21</w:t>
      </w:r>
    </w:p>
    <w:p w14:paraId="7624EFBD">
      <w:pPr>
        <w:spacing w:line="400" w:lineRule="exact"/>
        <w:ind w:firstLine="480" w:firstLineChars="200"/>
        <w:rPr>
          <w:rFonts w:ascii="宋体" w:hAnsi="宋体" w:eastAsia="宋体" w:cs="Times New Roman"/>
          <w:sz w:val="24"/>
          <w:szCs w:val="24"/>
          <w:highlight w:val="none"/>
        </w:rPr>
      </w:pPr>
    </w:p>
    <w:p w14:paraId="16786245">
      <w:pPr>
        <w:spacing w:line="400" w:lineRule="exact"/>
        <w:ind w:firstLine="480" w:firstLineChars="200"/>
        <w:rPr>
          <w:rFonts w:ascii="宋体" w:hAnsi="宋体" w:eastAsia="宋体" w:cs="Times New Roman"/>
          <w:sz w:val="24"/>
          <w:szCs w:val="24"/>
          <w:highlight w:val="none"/>
        </w:rPr>
        <w:sectPr>
          <w:pgSz w:w="11906" w:h="16838"/>
          <w:pgMar w:top="1247" w:right="1247" w:bottom="1247" w:left="1247" w:header="680" w:footer="992" w:gutter="0"/>
          <w:pgNumType w:fmt="numberInDash"/>
          <w:cols w:space="720" w:num="1"/>
          <w:docGrid w:linePitch="312" w:charSpace="0"/>
        </w:sectPr>
      </w:pPr>
    </w:p>
    <w:p w14:paraId="71E1593A">
      <w:pPr>
        <w:pStyle w:val="28"/>
        <w:rPr>
          <w:highlight w:val="none"/>
        </w:rPr>
      </w:pPr>
    </w:p>
    <w:p w14:paraId="4272B3F9">
      <w:pPr>
        <w:pStyle w:val="28"/>
        <w:rPr>
          <w:highlight w:val="none"/>
        </w:rPr>
      </w:pPr>
      <w:bookmarkStart w:id="9" w:name="_Toc213847314"/>
      <w:r>
        <w:rPr>
          <w:rFonts w:hint="eastAsia"/>
          <w:highlight w:val="none"/>
        </w:rPr>
        <w:t>第二章　</w:t>
      </w:r>
      <w:r>
        <w:rPr>
          <w:rFonts w:hint="eastAsia" w:hAnsi="宋体"/>
          <w:highlight w:val="none"/>
        </w:rPr>
        <w:t>投标人</w:t>
      </w:r>
      <w:r>
        <w:rPr>
          <w:rFonts w:hint="eastAsia"/>
          <w:highlight w:val="none"/>
        </w:rPr>
        <w:t>须知</w:t>
      </w:r>
      <w:bookmarkEnd w:id="7"/>
      <w:bookmarkEnd w:id="8"/>
      <w:bookmarkEnd w:id="9"/>
    </w:p>
    <w:p w14:paraId="538A4B61">
      <w:pPr>
        <w:spacing w:line="400" w:lineRule="exact"/>
        <w:rPr>
          <w:rFonts w:ascii="黑体" w:hAnsi="Times New Roman" w:eastAsia="黑体" w:cs="Times New Roman"/>
          <w:b/>
          <w:sz w:val="28"/>
          <w:szCs w:val="24"/>
          <w:highlight w:val="none"/>
        </w:rPr>
      </w:pPr>
    </w:p>
    <w:p w14:paraId="6BA3D3C9">
      <w:pPr>
        <w:spacing w:line="400" w:lineRule="exact"/>
        <w:rPr>
          <w:rFonts w:ascii="黑体" w:hAnsi="Times New Roman" w:eastAsia="黑体" w:cs="Times New Roman"/>
          <w:sz w:val="28"/>
          <w:szCs w:val="24"/>
          <w:highlight w:val="none"/>
        </w:rPr>
      </w:pPr>
      <w:r>
        <w:rPr>
          <w:rFonts w:hint="eastAsia" w:ascii="黑体" w:hAnsi="Times New Roman" w:eastAsia="黑体" w:cs="Times New Roman"/>
          <w:b/>
          <w:sz w:val="28"/>
          <w:szCs w:val="24"/>
          <w:highlight w:val="none"/>
        </w:rPr>
        <w:t>一、</w:t>
      </w:r>
      <w:r>
        <w:rPr>
          <w:rFonts w:hint="eastAsia" w:ascii="黑体" w:hAnsi="Times New Roman" w:eastAsia="黑体" w:cs="Times New Roman"/>
          <w:sz w:val="28"/>
          <w:szCs w:val="24"/>
          <w:highlight w:val="none"/>
        </w:rPr>
        <w:t>遵循原则：</w:t>
      </w:r>
    </w:p>
    <w:p w14:paraId="1D206AF1">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公开透明原则、公平竞争原则、公正原则和诚实信用原则。</w:t>
      </w:r>
    </w:p>
    <w:p w14:paraId="326BB7EF">
      <w:pPr>
        <w:spacing w:line="400" w:lineRule="exact"/>
        <w:rPr>
          <w:rFonts w:ascii="黑体" w:hAnsi="Times New Roman" w:eastAsia="黑体" w:cs="Times New Roman"/>
          <w:sz w:val="24"/>
          <w:szCs w:val="24"/>
          <w:highlight w:val="none"/>
        </w:rPr>
      </w:pPr>
      <w:r>
        <w:rPr>
          <w:rFonts w:hint="eastAsia" w:ascii="黑体" w:hAnsi="Times New Roman" w:eastAsia="黑体" w:cs="Times New Roman"/>
          <w:sz w:val="28"/>
          <w:szCs w:val="24"/>
          <w:highlight w:val="none"/>
        </w:rPr>
        <w:t>二、招标文件：</w:t>
      </w:r>
    </w:p>
    <w:p w14:paraId="79DA1DC4">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1、招标文件包括本文件目录所列全部内容，投标人应仔细阅读，并在投标文件中充分反映招标文件的所有要求。</w:t>
      </w:r>
    </w:p>
    <w:p w14:paraId="1CABF2C4">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2、招标文件中的“法定代表人”是指投标人的营业执照或相关部门的有效登记证明文件中的“法定代表人”或“负责人”。</w:t>
      </w:r>
    </w:p>
    <w:p w14:paraId="42222931">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3、投标人应在</w:t>
      </w:r>
      <w:r>
        <w:rPr>
          <w:rFonts w:ascii="宋体" w:hAnsi="宋体" w:eastAsia="宋体" w:cs="Times New Roman"/>
          <w:sz w:val="24"/>
          <w:szCs w:val="24"/>
          <w:highlight w:val="none"/>
        </w:rPr>
        <w:t>江苏省政府采购（苏采云）平台</w:t>
      </w:r>
      <w:r>
        <w:rPr>
          <w:rFonts w:hint="eastAsia" w:ascii="宋体" w:hAnsi="宋体" w:eastAsia="宋体" w:cs="Times New Roman"/>
          <w:sz w:val="24"/>
          <w:szCs w:val="24"/>
          <w:highlight w:val="none"/>
        </w:rPr>
        <w:t>下载招标文件及有关资料，按招标文件要求提交全部资料并对招标文件各项内容做出实质性响应，否则投标无效。</w:t>
      </w:r>
    </w:p>
    <w:p w14:paraId="5D5FF9E2">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4、投标人一旦参加本项目，即被认为接受了本招标文件中的所有条件和规定。</w:t>
      </w:r>
    </w:p>
    <w:p w14:paraId="7D9F3C6B">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5、招标文件仅作为本次采购投标使用。</w:t>
      </w:r>
    </w:p>
    <w:p w14:paraId="65FA7CE3">
      <w:pPr>
        <w:spacing w:line="400" w:lineRule="exact"/>
        <w:rPr>
          <w:rFonts w:ascii="黑体" w:hAnsi="Times New Roman" w:eastAsia="黑体" w:cs="Times New Roman"/>
          <w:sz w:val="24"/>
          <w:szCs w:val="24"/>
          <w:highlight w:val="none"/>
        </w:rPr>
      </w:pPr>
      <w:r>
        <w:rPr>
          <w:rFonts w:hint="eastAsia" w:ascii="黑体" w:hAnsi="Times New Roman" w:eastAsia="黑体" w:cs="Times New Roman"/>
          <w:sz w:val="28"/>
          <w:szCs w:val="24"/>
          <w:highlight w:val="none"/>
        </w:rPr>
        <w:t>三、招标文件的解释：</w:t>
      </w:r>
      <w:r>
        <w:rPr>
          <w:rFonts w:hint="eastAsia" w:ascii="黑体" w:hAnsi="Times New Roman" w:eastAsia="黑体" w:cs="Times New Roman"/>
          <w:sz w:val="24"/>
          <w:szCs w:val="24"/>
          <w:highlight w:val="none"/>
        </w:rPr>
        <w:tab/>
      </w:r>
    </w:p>
    <w:p w14:paraId="5F209022">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1、投标单位如有需要对招标文件要求澄清的问题，均应在开标前十五日以书面形式提出（加盖公章），并送至江阴市政府采购中心。</w:t>
      </w:r>
    </w:p>
    <w:p w14:paraId="7137327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2、本文件的最终解释权归江阴市政府采购中心。</w:t>
      </w:r>
    </w:p>
    <w:p w14:paraId="30925698">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四、招标文件的补充或修正： </w:t>
      </w:r>
    </w:p>
    <w:p w14:paraId="6C615857">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1、江阴市政府采购中心可以对已发出的招标文件进行必要的澄清或者修改。</w:t>
      </w:r>
    </w:p>
    <w:p w14:paraId="325CFAF3">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1620C972">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3、澄清或者修改的内容可能影响投标文件编制的，江阴市政府采购中心将在投标截止时间至少15日前发布澄清公告；不足15日的顺延提交投标文件的截止时间和开标时间。</w:t>
      </w:r>
    </w:p>
    <w:p w14:paraId="306B1133">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五、投标文件的要求：</w:t>
      </w:r>
    </w:p>
    <w:p w14:paraId="3CAF319B">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sz w:val="24"/>
          <w:szCs w:val="24"/>
          <w:highlight w:val="none"/>
        </w:rPr>
        <w:t>投标文件由下列部分组成：</w:t>
      </w:r>
    </w:p>
    <w:p w14:paraId="0D7CD586">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sz w:val="24"/>
          <w:szCs w:val="24"/>
          <w:highlight w:val="none"/>
        </w:rPr>
        <w:t>（1）</w:t>
      </w:r>
      <w:r>
        <w:rPr>
          <w:rFonts w:hint="eastAsia" w:ascii="宋体" w:hAnsi="宋体" w:eastAsia="宋体" w:cs="Times New Roman"/>
          <w:b/>
          <w:sz w:val="24"/>
          <w:szCs w:val="24"/>
          <w:highlight w:val="none"/>
        </w:rPr>
        <w:t>*</w:t>
      </w:r>
      <w:r>
        <w:rPr>
          <w:rFonts w:hint="eastAsia" w:ascii="宋体" w:hAnsi="宋体" w:eastAsia="宋体" w:cs="Times New Roman"/>
          <w:sz w:val="24"/>
          <w:szCs w:val="24"/>
          <w:highlight w:val="none"/>
        </w:rPr>
        <w:t>投标函；</w:t>
      </w:r>
    </w:p>
    <w:p w14:paraId="7FC42EF3">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sz w:val="24"/>
          <w:szCs w:val="24"/>
          <w:highlight w:val="none"/>
        </w:rPr>
        <w:t>（2）</w:t>
      </w:r>
      <w:r>
        <w:rPr>
          <w:rFonts w:hint="eastAsia" w:ascii="宋体" w:hAnsi="宋体" w:eastAsia="宋体" w:cs="Times New Roman"/>
          <w:b/>
          <w:sz w:val="24"/>
          <w:szCs w:val="24"/>
          <w:highlight w:val="none"/>
        </w:rPr>
        <w:t>*</w:t>
      </w:r>
      <w:r>
        <w:rPr>
          <w:rFonts w:hint="eastAsia" w:ascii="宋体" w:hAnsi="宋体" w:eastAsia="宋体" w:cs="Times New Roman"/>
          <w:sz w:val="24"/>
          <w:szCs w:val="24"/>
          <w:highlight w:val="none"/>
        </w:rPr>
        <w:t>开标一览表；</w:t>
      </w:r>
    </w:p>
    <w:p w14:paraId="5343B0E2">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sz w:val="24"/>
          <w:szCs w:val="24"/>
          <w:highlight w:val="none"/>
        </w:rPr>
        <w:t>（3）</w:t>
      </w:r>
      <w:r>
        <w:rPr>
          <w:rFonts w:hint="eastAsia" w:ascii="宋体" w:hAnsi="宋体" w:eastAsia="宋体" w:cs="Times New Roman"/>
          <w:b/>
          <w:sz w:val="24"/>
          <w:szCs w:val="24"/>
          <w:highlight w:val="none"/>
        </w:rPr>
        <w:t>*</w:t>
      </w:r>
      <w:r>
        <w:rPr>
          <w:rFonts w:hint="eastAsia" w:ascii="宋体" w:hAnsi="宋体" w:eastAsia="宋体" w:cs="Times New Roman"/>
          <w:sz w:val="24"/>
          <w:szCs w:val="24"/>
          <w:highlight w:val="none"/>
        </w:rPr>
        <w:t>分项报价表；</w:t>
      </w:r>
    </w:p>
    <w:p w14:paraId="25D748F0">
      <w:pPr>
        <w:spacing w:line="4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w:t>
      </w:r>
      <w:r>
        <w:rPr>
          <w:rFonts w:hint="eastAsia" w:ascii="宋体" w:hAnsi="宋体" w:eastAsia="宋体" w:cs="Times New Roman"/>
          <w:b/>
          <w:sz w:val="24"/>
          <w:szCs w:val="24"/>
          <w:highlight w:val="none"/>
        </w:rPr>
        <w:t>*</w:t>
      </w:r>
      <w:r>
        <w:rPr>
          <w:rFonts w:hint="eastAsia" w:ascii="宋体" w:hAnsi="宋体" w:eastAsia="宋体" w:cs="Times New Roman"/>
          <w:sz w:val="24"/>
          <w:szCs w:val="24"/>
          <w:highlight w:val="none"/>
        </w:rPr>
        <w:t>商务、技术要求响应及偏离表；</w:t>
      </w:r>
    </w:p>
    <w:p w14:paraId="2876825B">
      <w:pPr>
        <w:spacing w:line="400" w:lineRule="exact"/>
        <w:ind w:firstLine="480" w:firstLineChars="200"/>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5</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*第三章实质性要求中须提供的承诺函</w:t>
      </w:r>
    </w:p>
    <w:p w14:paraId="3C297D01">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6</w:t>
      </w:r>
      <w:r>
        <w:rPr>
          <w:rFonts w:hint="eastAsia" w:ascii="宋体" w:hAnsi="宋体" w:eastAsia="宋体" w:cs="Times New Roman"/>
          <w:sz w:val="24"/>
          <w:szCs w:val="24"/>
          <w:highlight w:val="none"/>
        </w:rPr>
        <w:t>）</w:t>
      </w:r>
      <w:r>
        <w:rPr>
          <w:rFonts w:hint="eastAsia" w:ascii="宋体" w:hAnsi="宋体" w:eastAsia="宋体" w:cs="Times New Roman"/>
          <w:b/>
          <w:sz w:val="24"/>
          <w:szCs w:val="24"/>
          <w:highlight w:val="none"/>
        </w:rPr>
        <w:t>*</w:t>
      </w:r>
      <w:r>
        <w:rPr>
          <w:rFonts w:hint="eastAsia" w:ascii="宋体" w:hAnsi="宋体" w:eastAsia="宋体" w:cs="Times New Roman"/>
          <w:sz w:val="24"/>
          <w:szCs w:val="24"/>
          <w:highlight w:val="none"/>
        </w:rPr>
        <w:t>资格证明文件：</w:t>
      </w:r>
    </w:p>
    <w:p w14:paraId="7752983B">
      <w:pPr>
        <w:spacing w:line="400" w:lineRule="exact"/>
        <w:ind w:firstLine="964" w:firstLineChars="400"/>
        <w:rPr>
          <w:rFonts w:ascii="宋体" w:hAnsi="宋体" w:eastAsia="宋体" w:cs="Times New Roman"/>
          <w:bCs/>
          <w:sz w:val="24"/>
          <w:szCs w:val="24"/>
          <w:highlight w:val="none"/>
        </w:rPr>
      </w:pPr>
      <w:r>
        <w:rPr>
          <w:rFonts w:hint="eastAsia" w:ascii="宋体" w:hAnsi="宋体" w:eastAsia="宋体" w:cs="Times New Roman"/>
          <w:b/>
          <w:bCs/>
          <w:sz w:val="24"/>
          <w:szCs w:val="28"/>
          <w:highlight w:val="none"/>
        </w:rPr>
        <w:t>文件1：提供格式条款《关于资格的声明函》</w:t>
      </w:r>
    </w:p>
    <w:p w14:paraId="321235C5">
      <w:pPr>
        <w:spacing w:line="400" w:lineRule="exact"/>
        <w:ind w:firstLine="964" w:firstLineChars="400"/>
        <w:rPr>
          <w:rFonts w:ascii="宋体" w:hAnsi="宋体" w:eastAsia="宋体" w:cs="Times New Roman"/>
          <w:b/>
          <w:bCs/>
          <w:sz w:val="24"/>
          <w:szCs w:val="24"/>
          <w:highlight w:val="none"/>
        </w:rPr>
      </w:pPr>
      <w:r>
        <w:rPr>
          <w:rFonts w:hint="eastAsia" w:ascii="宋体" w:hAnsi="宋体" w:eastAsia="宋体" w:cs="Times New Roman"/>
          <w:b/>
          <w:bCs/>
          <w:sz w:val="24"/>
          <w:szCs w:val="28"/>
          <w:highlight w:val="none"/>
        </w:rPr>
        <w:t>文件2：</w:t>
      </w:r>
      <w:r>
        <w:rPr>
          <w:rFonts w:hint="eastAsia" w:ascii="宋体" w:hAnsi="宋体" w:eastAsia="宋体" w:cs="Times New Roman"/>
          <w:bCs/>
          <w:sz w:val="24"/>
          <w:szCs w:val="24"/>
          <w:highlight w:val="none"/>
        </w:rPr>
        <w:t>法定代表人授权委托书</w:t>
      </w:r>
      <w:r>
        <w:rPr>
          <w:rFonts w:hint="eastAsia" w:ascii="宋体" w:hAnsi="宋体" w:eastAsia="宋体" w:cs="Times New Roman"/>
          <w:b/>
          <w:bCs/>
          <w:sz w:val="24"/>
          <w:szCs w:val="24"/>
          <w:highlight w:val="none"/>
        </w:rPr>
        <w:t>（法定代表人签署投标文件且亲自参与的必须提供《法定代表人亲自投标声明》）</w:t>
      </w:r>
    </w:p>
    <w:p w14:paraId="4B7D2561">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sz w:val="24"/>
          <w:szCs w:val="28"/>
          <w:highlight w:val="none"/>
        </w:rPr>
        <w:t>（</w:t>
      </w:r>
      <w:r>
        <w:rPr>
          <w:rFonts w:hint="eastAsia" w:ascii="宋体" w:hAnsi="宋体" w:eastAsia="宋体" w:cs="Times New Roman"/>
          <w:sz w:val="24"/>
          <w:szCs w:val="28"/>
          <w:highlight w:val="none"/>
          <w:lang w:val="en-US" w:eastAsia="zh-CN"/>
        </w:rPr>
        <w:t>7</w:t>
      </w:r>
      <w:r>
        <w:rPr>
          <w:rFonts w:hint="eastAsia" w:ascii="宋体" w:hAnsi="宋体" w:eastAsia="宋体" w:cs="Times New Roman"/>
          <w:sz w:val="24"/>
          <w:szCs w:val="28"/>
          <w:highlight w:val="none"/>
        </w:rPr>
        <w:t>）投标人</w:t>
      </w:r>
      <w:r>
        <w:rPr>
          <w:rFonts w:ascii="宋体" w:hAnsi="宋体" w:eastAsia="宋体" w:cs="Times New Roman"/>
          <w:sz w:val="24"/>
          <w:szCs w:val="28"/>
          <w:highlight w:val="none"/>
        </w:rPr>
        <w:t>认为需要提供的其他证明文件</w:t>
      </w:r>
    </w:p>
    <w:p w14:paraId="60276058">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注：</w:t>
      </w:r>
    </w:p>
    <w:p w14:paraId="04589576">
      <w:pPr>
        <w:spacing w:line="400" w:lineRule="exact"/>
        <w:ind w:firstLine="480" w:firstLineChars="200"/>
        <w:rPr>
          <w:rFonts w:ascii="宋体" w:hAnsi="宋体" w:eastAsia="宋体" w:cs="Times New Roman"/>
          <w:b/>
          <w:sz w:val="24"/>
          <w:szCs w:val="24"/>
          <w:highlight w:val="none"/>
        </w:rPr>
      </w:pPr>
      <w:r>
        <w:rPr>
          <w:rFonts w:hint="eastAsia" w:ascii="宋体" w:hAnsi="宋体" w:eastAsia="宋体" w:cs="Times New Roman"/>
          <w:sz w:val="24"/>
          <w:szCs w:val="24"/>
          <w:highlight w:val="none"/>
        </w:rPr>
        <w:t>①其中加“*”项目若有缺失或无效，将作为无效投标文件。</w:t>
      </w:r>
    </w:p>
    <w:p w14:paraId="4C329D55">
      <w:pPr>
        <w:spacing w:line="400" w:lineRule="exact"/>
        <w:ind w:firstLine="480" w:firstLineChars="200"/>
        <w:rPr>
          <w:rFonts w:ascii="Tahoma" w:hAnsi="Tahoma" w:eastAsia="宋体" w:cs="Tahoma"/>
          <w:sz w:val="24"/>
          <w:szCs w:val="24"/>
          <w:highlight w:val="none"/>
        </w:rPr>
      </w:pPr>
      <w:r>
        <w:rPr>
          <w:rFonts w:hint="eastAsia" w:ascii="宋体" w:hAnsi="宋体" w:eastAsia="宋体" w:cs="Times New Roman"/>
          <w:sz w:val="24"/>
          <w:szCs w:val="24"/>
          <w:highlight w:val="none"/>
        </w:rPr>
        <w:t>②</w:t>
      </w:r>
      <w:r>
        <w:rPr>
          <w:rFonts w:hint="eastAsia" w:ascii="Tahoma" w:hAnsi="Tahoma" w:eastAsia="宋体" w:cs="Tahoma"/>
          <w:sz w:val="24"/>
          <w:szCs w:val="24"/>
          <w:highlight w:val="none"/>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0D4D9C14">
      <w:pPr>
        <w:spacing w:line="400" w:lineRule="exact"/>
        <w:ind w:firstLine="480" w:firstLineChars="200"/>
        <w:rPr>
          <w:rFonts w:ascii="Tahoma" w:hAnsi="Tahoma" w:eastAsia="宋体" w:cs="Tahoma"/>
          <w:sz w:val="24"/>
          <w:szCs w:val="24"/>
          <w:highlight w:val="none"/>
        </w:rPr>
      </w:pPr>
      <w:r>
        <w:rPr>
          <w:rFonts w:hint="eastAsia" w:ascii="Tahoma" w:hAnsi="Tahoma" w:eastAsia="宋体" w:cs="Tahoma"/>
          <w:sz w:val="24"/>
          <w:szCs w:val="24"/>
          <w:highlight w:val="none"/>
        </w:rPr>
        <w:t>③提供以人事代理、控股子公司等代收代缴形式缴纳社保的证明的，属于无效证明文件。</w:t>
      </w:r>
    </w:p>
    <w:p w14:paraId="0021D097">
      <w:pPr>
        <w:spacing w:line="400" w:lineRule="exact"/>
        <w:ind w:firstLine="480" w:firstLineChars="200"/>
        <w:rPr>
          <w:rFonts w:ascii="Tahoma" w:hAnsi="Tahoma" w:eastAsia="宋体" w:cs="Tahoma"/>
          <w:sz w:val="24"/>
          <w:szCs w:val="24"/>
          <w:highlight w:val="none"/>
        </w:rPr>
      </w:pPr>
      <w:r>
        <w:rPr>
          <w:rFonts w:hint="eastAsia" w:ascii="宋体" w:hAnsi="宋体" w:eastAsia="宋体" w:cs="Times New Roman"/>
          <w:sz w:val="24"/>
          <w:szCs w:val="24"/>
          <w:highlight w:val="none"/>
        </w:rPr>
        <w:t>④投标文件构成资料为非中文时应提供中文译版。</w:t>
      </w:r>
    </w:p>
    <w:p w14:paraId="0A356867">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⑤招标文件要求提供证书证件等原件电子件的，投标人提供的电子件应是对证书证件等原件通过扫描、拍照等方式进行数字化的可被电子交易平台识别的数字文件，否则评标委员会可以视其未提供。</w:t>
      </w:r>
    </w:p>
    <w:p w14:paraId="03184772">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⑥联合体投标的，由联合体牵头单位编制、提交投标文件。</w:t>
      </w:r>
    </w:p>
    <w:p w14:paraId="1E78B5ED">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⑦本项目不接受纸质投标文件。</w:t>
      </w:r>
    </w:p>
    <w:p w14:paraId="5DC83515">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六、投标文件</w:t>
      </w:r>
      <w:r>
        <w:rPr>
          <w:rFonts w:hint="eastAsia" w:ascii="黑体" w:hAnsi="Times New Roman" w:eastAsia="黑体" w:cs="Times New Roman"/>
          <w:sz w:val="28"/>
          <w:szCs w:val="28"/>
          <w:highlight w:val="none"/>
        </w:rPr>
        <w:t>的制作、提交与远程交互</w:t>
      </w:r>
      <w:r>
        <w:rPr>
          <w:rFonts w:hint="eastAsia" w:ascii="黑体" w:hAnsi="Times New Roman" w:eastAsia="黑体" w:cs="Times New Roman"/>
          <w:sz w:val="28"/>
          <w:szCs w:val="24"/>
          <w:highlight w:val="none"/>
        </w:rPr>
        <w:t>：</w:t>
      </w:r>
    </w:p>
    <w:p w14:paraId="78DD52D0">
      <w:pPr>
        <w:widowControl/>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Times New Roman"/>
          <w:sz w:val="24"/>
          <w:szCs w:val="24"/>
          <w:highlight w:val="none"/>
        </w:rPr>
        <w:t>1、</w:t>
      </w:r>
      <w:r>
        <w:rPr>
          <w:rFonts w:ascii="宋体" w:hAnsi="宋体" w:eastAsia="宋体" w:cs="Times New Roman"/>
          <w:sz w:val="24"/>
          <w:szCs w:val="24"/>
          <w:highlight w:val="none"/>
        </w:rPr>
        <w:t>供应商</w:t>
      </w:r>
      <w:r>
        <w:rPr>
          <w:rFonts w:hint="eastAsia" w:ascii="宋体" w:hAnsi="宋体" w:eastAsia="宋体" w:cs="Times New Roman"/>
          <w:sz w:val="24"/>
          <w:szCs w:val="24"/>
          <w:highlight w:val="none"/>
        </w:rPr>
        <w:t>从</w:t>
      </w:r>
      <w:r>
        <w:rPr>
          <w:rFonts w:ascii="宋体" w:hAnsi="宋体" w:eastAsia="宋体" w:cs="Times New Roman"/>
          <w:sz w:val="24"/>
          <w:szCs w:val="24"/>
          <w:highlight w:val="none"/>
        </w:rPr>
        <w:t>苏采云平台中免费下载文件（“项目参与</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找到需要获取</w:t>
      </w:r>
      <w:r>
        <w:rPr>
          <w:rFonts w:hint="eastAsia" w:ascii="宋体" w:hAnsi="宋体" w:eastAsia="宋体" w:cs="Times New Roman"/>
          <w:sz w:val="24"/>
          <w:szCs w:val="24"/>
          <w:highlight w:val="none"/>
        </w:rPr>
        <w:t>招标文件</w:t>
      </w:r>
      <w:r>
        <w:rPr>
          <w:rFonts w:ascii="宋体" w:hAnsi="宋体" w:eastAsia="宋体" w:cs="Times New Roman"/>
          <w:sz w:val="24"/>
          <w:szCs w:val="24"/>
          <w:highlight w:val="none"/>
        </w:rPr>
        <w:t>的项目，点击“我要参与”——“参与投标”</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下载文件</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），完成项目</w:t>
      </w:r>
      <w:r>
        <w:rPr>
          <w:rFonts w:hint="eastAsia" w:ascii="宋体" w:hAnsi="宋体" w:eastAsia="宋体" w:cs="Times New Roman"/>
          <w:sz w:val="24"/>
          <w:szCs w:val="24"/>
          <w:highlight w:val="none"/>
        </w:rPr>
        <w:t>参与</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将苏采云平台中</w:t>
      </w:r>
      <w:r>
        <w:rPr>
          <w:rFonts w:ascii="宋体" w:hAnsi="宋体" w:eastAsia="宋体" w:cs="Times New Roman"/>
          <w:sz w:val="24"/>
          <w:szCs w:val="24"/>
          <w:highlight w:val="none"/>
        </w:rPr>
        <w:t>下载的</w:t>
      </w:r>
      <w:r>
        <w:rPr>
          <w:rFonts w:hint="eastAsia" w:ascii="宋体" w:hAnsi="宋体" w:eastAsia="宋体" w:cs="Times New Roman"/>
          <w:sz w:val="24"/>
          <w:szCs w:val="24"/>
          <w:highlight w:val="none"/>
        </w:rPr>
        <w:t>招标</w:t>
      </w:r>
      <w:r>
        <w:rPr>
          <w:rFonts w:ascii="宋体" w:hAnsi="宋体" w:eastAsia="宋体" w:cs="Times New Roman"/>
          <w:sz w:val="24"/>
          <w:szCs w:val="24"/>
          <w:highlight w:val="none"/>
        </w:rPr>
        <w:t>文件</w:t>
      </w:r>
      <w:r>
        <w:rPr>
          <w:rFonts w:hint="eastAsia" w:ascii="宋体" w:hAnsi="宋体" w:eastAsia="宋体" w:cs="Times New Roman"/>
          <w:sz w:val="24"/>
          <w:szCs w:val="24"/>
          <w:highlight w:val="none"/>
        </w:rPr>
        <w:t>（后缀名为“.kedt”）</w:t>
      </w:r>
      <w:r>
        <w:rPr>
          <w:rFonts w:ascii="宋体" w:hAnsi="宋体" w:eastAsia="宋体" w:cs="Times New Roman"/>
          <w:sz w:val="24"/>
          <w:szCs w:val="24"/>
          <w:highlight w:val="none"/>
        </w:rPr>
        <w:t>导入到“政府采购客户端”，离线按要求</w:t>
      </w:r>
      <w:r>
        <w:rPr>
          <w:rFonts w:hint="eastAsia" w:ascii="宋体" w:hAnsi="宋体" w:eastAsia="宋体" w:cs="Times New Roman"/>
          <w:sz w:val="24"/>
          <w:szCs w:val="24"/>
          <w:highlight w:val="none"/>
        </w:rPr>
        <w:t>编制</w:t>
      </w:r>
      <w:r>
        <w:rPr>
          <w:rFonts w:ascii="宋体" w:hAnsi="宋体" w:eastAsia="宋体" w:cs="Times New Roman"/>
          <w:sz w:val="24"/>
          <w:szCs w:val="24"/>
          <w:highlight w:val="none"/>
        </w:rPr>
        <w:t>并加密响应文件</w:t>
      </w:r>
      <w:r>
        <w:rPr>
          <w:rFonts w:hint="eastAsia" w:ascii="宋体" w:hAnsi="宋体" w:eastAsia="宋体" w:cs="Times New Roman"/>
          <w:sz w:val="24"/>
          <w:szCs w:val="24"/>
          <w:highlight w:val="none"/>
        </w:rPr>
        <w:t>（使用“CA数字证书”），</w:t>
      </w:r>
      <w:r>
        <w:rPr>
          <w:rFonts w:ascii="宋体" w:hAnsi="宋体" w:eastAsia="宋体" w:cs="Times New Roman"/>
          <w:sz w:val="24"/>
          <w:szCs w:val="24"/>
          <w:highlight w:val="none"/>
        </w:rPr>
        <w:t>导出加密的响应文件</w:t>
      </w:r>
      <w:r>
        <w:rPr>
          <w:rFonts w:hint="eastAsia" w:ascii="宋体" w:hAnsi="宋体" w:eastAsia="宋体" w:cs="Times New Roman"/>
          <w:sz w:val="24"/>
          <w:szCs w:val="24"/>
          <w:highlight w:val="none"/>
        </w:rPr>
        <w:t>（后缀名为zip，不得超过150M）并在</w:t>
      </w:r>
      <w:r>
        <w:rPr>
          <w:rFonts w:ascii="宋体" w:hAnsi="宋体" w:eastAsia="宋体" w:cs="Times New Roman"/>
          <w:sz w:val="24"/>
          <w:szCs w:val="24"/>
          <w:highlight w:val="none"/>
        </w:rPr>
        <w:t>苏采云</w:t>
      </w:r>
      <w:r>
        <w:rPr>
          <w:rFonts w:hint="eastAsia" w:ascii="宋体" w:hAnsi="宋体" w:eastAsia="宋体" w:cs="Times New Roman"/>
          <w:sz w:val="24"/>
          <w:szCs w:val="24"/>
          <w:highlight w:val="none"/>
        </w:rPr>
        <w:t>平台</w:t>
      </w:r>
      <w:r>
        <w:rPr>
          <w:rFonts w:ascii="宋体" w:hAnsi="宋体" w:eastAsia="宋体" w:cs="Times New Roman"/>
          <w:sz w:val="24"/>
          <w:szCs w:val="24"/>
          <w:highlight w:val="none"/>
        </w:rPr>
        <w:t>上传该加密的响应文件，对</w:t>
      </w:r>
      <w:r>
        <w:rPr>
          <w:rFonts w:hint="eastAsia" w:ascii="宋体" w:hAnsi="宋体" w:eastAsia="宋体" w:cs="Times New Roman"/>
          <w:sz w:val="24"/>
          <w:szCs w:val="24"/>
          <w:highlight w:val="none"/>
        </w:rPr>
        <w:t>招标</w:t>
      </w:r>
      <w:r>
        <w:rPr>
          <w:rFonts w:ascii="宋体" w:hAnsi="宋体" w:eastAsia="宋体" w:cs="Times New Roman"/>
          <w:sz w:val="24"/>
          <w:szCs w:val="24"/>
          <w:highlight w:val="none"/>
        </w:rPr>
        <w:t>文件各项内容做出实质性响应，否则其响应文件无效。</w:t>
      </w:r>
    </w:p>
    <w:p w14:paraId="5D4DC251">
      <w:pPr>
        <w:widowControl/>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ascii="宋体" w:hAnsi="宋体" w:eastAsia="宋体" w:cs="宋体"/>
          <w:kern w:val="0"/>
          <w:sz w:val="24"/>
          <w:szCs w:val="24"/>
          <w:highlight w:val="none"/>
        </w:rPr>
        <w:t>本</w:t>
      </w:r>
      <w:r>
        <w:rPr>
          <w:rFonts w:hint="eastAsia" w:ascii="宋体" w:hAnsi="宋体" w:eastAsia="宋体" w:cs="宋体"/>
          <w:kern w:val="0"/>
          <w:sz w:val="24"/>
          <w:szCs w:val="24"/>
          <w:highlight w:val="none"/>
        </w:rPr>
        <w:t>项目</w:t>
      </w:r>
      <w:r>
        <w:rPr>
          <w:rFonts w:ascii="宋体" w:hAnsi="宋体" w:eastAsia="宋体" w:cs="宋体"/>
          <w:kern w:val="0"/>
          <w:sz w:val="24"/>
          <w:szCs w:val="24"/>
          <w:highlight w:val="none"/>
        </w:rPr>
        <w:t>采用远程不见面交易模式。通过不见面交易系统及相应的配套硬件设备（摄像头、话筒、麦克风等）完成远程解密、开标现场异议及回复、开标唱标、等交互环节。相关要求和说明如下：</w:t>
      </w:r>
    </w:p>
    <w:p w14:paraId="21E7C52A">
      <w:pPr>
        <w:widowControl/>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①</w:t>
      </w:r>
      <w:r>
        <w:rPr>
          <w:rFonts w:ascii="宋体" w:hAnsi="宋体" w:eastAsia="宋体" w:cs="宋体"/>
          <w:kern w:val="0"/>
          <w:sz w:val="24"/>
          <w:szCs w:val="24"/>
          <w:highlight w:val="none"/>
        </w:rPr>
        <w:t>远程开标项目的时间均以国家授时中心发布的时间为准；</w:t>
      </w:r>
    </w:p>
    <w:p w14:paraId="4369156F">
      <w:pPr>
        <w:widowControl/>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②</w:t>
      </w:r>
      <w:r>
        <w:rPr>
          <w:rFonts w:ascii="宋体" w:hAnsi="宋体" w:eastAsia="宋体" w:cs="宋体"/>
          <w:kern w:val="0"/>
          <w:sz w:val="24"/>
          <w:szCs w:val="24"/>
          <w:highlight w:val="none"/>
        </w:rPr>
        <w:t>开标当日，投标人不必抵达开标现场</w:t>
      </w:r>
      <w:r>
        <w:rPr>
          <w:rFonts w:hint="eastAsia" w:ascii="宋体" w:hAnsi="宋体" w:eastAsia="宋体" w:cs="宋体"/>
          <w:kern w:val="0"/>
          <w:sz w:val="24"/>
          <w:szCs w:val="24"/>
          <w:highlight w:val="none"/>
        </w:rPr>
        <w:t>；</w:t>
      </w:r>
    </w:p>
    <w:p w14:paraId="0B62D7C8">
      <w:pPr>
        <w:widowControl/>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526E3CB4">
      <w:pPr>
        <w:widowControl/>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551B8012">
      <w:pPr>
        <w:widowControl/>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54288B6A">
      <w:pPr>
        <w:widowControl/>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3A7690F3">
      <w:pPr>
        <w:widowControl/>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⑦</w:t>
      </w:r>
      <w:r>
        <w:rPr>
          <w:rFonts w:ascii="宋体" w:hAnsi="宋体" w:eastAsia="宋体" w:cs="宋体"/>
          <w:kern w:val="0"/>
          <w:sz w:val="24"/>
          <w:szCs w:val="24"/>
          <w:highlight w:val="none"/>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48FFD5E1">
      <w:pPr>
        <w:spacing w:line="4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⑧</w:t>
      </w:r>
      <w:r>
        <w:rPr>
          <w:rFonts w:ascii="宋体" w:hAnsi="宋体" w:eastAsia="宋体" w:cs="宋体"/>
          <w:kern w:val="0"/>
          <w:sz w:val="24"/>
          <w:szCs w:val="24"/>
          <w:highlight w:val="none"/>
        </w:rPr>
        <w:t>为顺利实现本项目开评标的远程交互，建议</w:t>
      </w:r>
      <w:r>
        <w:rPr>
          <w:rFonts w:hint="eastAsia" w:ascii="宋体" w:hAnsi="宋体" w:eastAsia="宋体" w:cs="宋体"/>
          <w:kern w:val="0"/>
          <w:sz w:val="24"/>
          <w:szCs w:val="24"/>
          <w:highlight w:val="none"/>
        </w:rPr>
        <w:t>供应商</w:t>
      </w:r>
      <w:r>
        <w:rPr>
          <w:rFonts w:ascii="宋体" w:hAnsi="宋体" w:eastAsia="宋体" w:cs="宋体"/>
          <w:kern w:val="0"/>
          <w:sz w:val="24"/>
          <w:szCs w:val="24"/>
          <w:highlight w:val="none"/>
        </w:rPr>
        <w:t>配置的硬件设施有：高配置电脑、高速稳定的网络、电源（不间断）、CA锁、音视频设备（话筒、耳麦、高清摄像头、音响）、扫描仪、打印机、传真机、高清视频监控等；建议</w:t>
      </w:r>
      <w:r>
        <w:rPr>
          <w:rFonts w:hint="eastAsia" w:ascii="宋体" w:hAnsi="宋体" w:eastAsia="宋体" w:cs="宋体"/>
          <w:kern w:val="0"/>
          <w:sz w:val="24"/>
          <w:szCs w:val="24"/>
          <w:highlight w:val="none"/>
        </w:rPr>
        <w:t>供应商</w:t>
      </w:r>
      <w:r>
        <w:rPr>
          <w:rFonts w:ascii="宋体" w:hAnsi="宋体" w:eastAsia="宋体" w:cs="宋体"/>
          <w:kern w:val="0"/>
          <w:sz w:val="24"/>
          <w:szCs w:val="24"/>
          <w:highlight w:val="none"/>
        </w:rPr>
        <w:t>具备的软件设施有：</w:t>
      </w:r>
      <w:r>
        <w:rPr>
          <w:rFonts w:hint="eastAsia" w:ascii="宋体" w:hAnsi="宋体" w:eastAsia="宋体" w:cs="宋体"/>
          <w:kern w:val="0"/>
          <w:sz w:val="24"/>
          <w:szCs w:val="24"/>
          <w:highlight w:val="none"/>
        </w:rPr>
        <w:t>谷歌浏览器、政府采购客户端、CA驱动等</w:t>
      </w:r>
      <w:r>
        <w:rPr>
          <w:rFonts w:ascii="宋体" w:hAnsi="宋体" w:eastAsia="宋体" w:cs="宋体"/>
          <w:kern w:val="0"/>
          <w:sz w:val="24"/>
          <w:szCs w:val="24"/>
          <w:highlight w:val="none"/>
        </w:rPr>
        <w:t>。为保证交互效果，建议</w:t>
      </w:r>
      <w:r>
        <w:rPr>
          <w:rFonts w:hint="eastAsia" w:ascii="宋体" w:hAnsi="宋体" w:eastAsia="宋体" w:cs="宋体"/>
          <w:kern w:val="0"/>
          <w:sz w:val="24"/>
          <w:szCs w:val="24"/>
          <w:highlight w:val="none"/>
        </w:rPr>
        <w:t>供应商</w:t>
      </w:r>
      <w:r>
        <w:rPr>
          <w:rFonts w:ascii="宋体" w:hAnsi="宋体" w:eastAsia="宋体" w:cs="宋体"/>
          <w:kern w:val="0"/>
          <w:sz w:val="24"/>
          <w:szCs w:val="24"/>
          <w:highlight w:val="none"/>
        </w:rPr>
        <w:t>选择封闭安静的地点参与远程交互。因</w:t>
      </w:r>
      <w:r>
        <w:rPr>
          <w:rFonts w:hint="eastAsia" w:ascii="宋体" w:hAnsi="宋体" w:eastAsia="宋体" w:cs="宋体"/>
          <w:kern w:val="0"/>
          <w:sz w:val="24"/>
          <w:szCs w:val="24"/>
          <w:highlight w:val="none"/>
        </w:rPr>
        <w:t>供应商</w:t>
      </w:r>
      <w:r>
        <w:rPr>
          <w:rFonts w:ascii="宋体" w:hAnsi="宋体" w:eastAsia="宋体" w:cs="宋体"/>
          <w:kern w:val="0"/>
          <w:sz w:val="24"/>
          <w:szCs w:val="24"/>
          <w:highlight w:val="none"/>
        </w:rPr>
        <w:t>自身软硬件配备不齐全或发生故障等问题而导致在交互过程中出现不稳定或中断等情况的，由</w:t>
      </w:r>
      <w:r>
        <w:rPr>
          <w:rFonts w:hint="eastAsia" w:ascii="宋体" w:hAnsi="宋体" w:eastAsia="宋体" w:cs="宋体"/>
          <w:kern w:val="0"/>
          <w:sz w:val="24"/>
          <w:szCs w:val="24"/>
          <w:highlight w:val="none"/>
        </w:rPr>
        <w:t>供应商</w:t>
      </w:r>
      <w:r>
        <w:rPr>
          <w:rFonts w:ascii="宋体" w:hAnsi="宋体" w:eastAsia="宋体" w:cs="宋体"/>
          <w:kern w:val="0"/>
          <w:sz w:val="24"/>
          <w:szCs w:val="24"/>
          <w:highlight w:val="none"/>
        </w:rPr>
        <w:t>自身承担一切后果。</w:t>
      </w:r>
    </w:p>
    <w:p w14:paraId="0D56501D">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3、投标的有效期为开标后90天。</w:t>
      </w:r>
    </w:p>
    <w:p w14:paraId="54A8F2EF">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4、投标费用自理。</w:t>
      </w:r>
    </w:p>
    <w:p w14:paraId="117327BB">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七、无效投标文件的确认：</w:t>
      </w:r>
    </w:p>
    <w:p w14:paraId="50D5B0EF">
      <w:pPr>
        <w:tabs>
          <w:tab w:val="left" w:pos="1050"/>
        </w:tabs>
        <w:spacing w:line="400" w:lineRule="exact"/>
        <w:ind w:firstLine="482" w:firstLineChars="200"/>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（一）投标人存在下列情况之一的，其投标无效：</w:t>
      </w:r>
    </w:p>
    <w:p w14:paraId="084C04A1">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1、投标文件未按招标文件要求签署、盖章的；</w:t>
      </w:r>
    </w:p>
    <w:p w14:paraId="298C0410">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2、不具备招标文件中规定的资格要求的，未提供格式条款《关于资格的声明函》承诺书或者对该承诺书作实质性修改的；</w:t>
      </w:r>
    </w:p>
    <w:p w14:paraId="7C463392">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3、报价超过招标文件中规定的预算金额或者最高限价的；</w:t>
      </w:r>
    </w:p>
    <w:p w14:paraId="3A3E36E9">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4、投标文件含有采购人不能接受的附加条件的；</w:t>
      </w:r>
    </w:p>
    <w:p w14:paraId="2AB0FA9B">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5、投标文件未按规定的期限、地点送达的；</w:t>
      </w:r>
    </w:p>
    <w:p w14:paraId="325755DD">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6、投标文件内容未实质性响应或不符合法律法规和招标文件中规定的其它实质性要求的；</w:t>
      </w:r>
    </w:p>
    <w:p w14:paraId="6DD14BB8">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7、投标文件中同一方案有选择性报价且未声明以哪一个为准的；</w:t>
      </w:r>
    </w:p>
    <w:p w14:paraId="7E243E71">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8、不响应招标文件中的付款方式的；</w:t>
      </w:r>
    </w:p>
    <w:p w14:paraId="4E6312AD">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9、苏采云平台中不同投标单位的MAC地址一致或标书制作工具客户端标识码一致的；</w:t>
      </w:r>
    </w:p>
    <w:p w14:paraId="6B5A4F3E">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10、其他法律、法规及本招标文件规定的属无效投标的情形。</w:t>
      </w:r>
    </w:p>
    <w:p w14:paraId="7D3A0EB5">
      <w:pPr>
        <w:tabs>
          <w:tab w:val="left" w:pos="1050"/>
        </w:tabs>
        <w:spacing w:line="400" w:lineRule="exact"/>
        <w:ind w:firstLine="482" w:firstLineChars="200"/>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（二）投标人有下列情形之一的，视为串通投标，其投标无效，并按《中华人民共和国政府采购法》第七十七条规定追究法律责任：</w:t>
      </w:r>
    </w:p>
    <w:p w14:paraId="70BFD1DD">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1、投标单位直接或间接从采购人或采购代理机构处获得其他投标单位的投标情况，并修改其投标文件；</w:t>
      </w:r>
    </w:p>
    <w:p w14:paraId="64B3D862">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2、评审活动开始前投标单位直接或间接从采购人或采购代理机构处获得评标委员会组成人员情况；</w:t>
      </w:r>
    </w:p>
    <w:p w14:paraId="06994D19">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3、投标单位接受采购人或采购代理机构授意撤换、修改投标文件；</w:t>
      </w:r>
    </w:p>
    <w:p w14:paraId="4BDAC79A">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4、投标单位之间协商投标报价、技术方案等投标文件实质性内容；</w:t>
      </w:r>
    </w:p>
    <w:p w14:paraId="308EA03F">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5、属于同一集团、协会、商会等组织成员的投标单位按照该组织要求协同投标；</w:t>
      </w:r>
    </w:p>
    <w:p w14:paraId="4CFE5E0A">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6、投标单位之间事先约定由某一特定投标单位中标；</w:t>
      </w:r>
    </w:p>
    <w:p w14:paraId="12E95FB3">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7、投标单位之间商定部分投标单位放弃投标或者放弃中标；</w:t>
      </w:r>
    </w:p>
    <w:p w14:paraId="4C88F111">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8、投标单位与采购人或采购代理机构之间、投标单位相互之间为谋求特定投标单位中标成交或者排斥其他投标单位的其他串通行为；</w:t>
      </w:r>
    </w:p>
    <w:p w14:paraId="32713737">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9、不同投标人的投标文件由同一单位或者个人编制；</w:t>
      </w:r>
    </w:p>
    <w:p w14:paraId="3BC54D44">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10、不同投标人委托同一单位或者个人办理投标事宜；</w:t>
      </w:r>
    </w:p>
    <w:p w14:paraId="12E936D9">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11、不同投标人的投标文件载明的项目管理成员为同一人；</w:t>
      </w:r>
    </w:p>
    <w:p w14:paraId="6E614F83">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12、不同投标人的投标文件异常一致或者投标报价呈规律性差异；</w:t>
      </w:r>
    </w:p>
    <w:p w14:paraId="6A36318F">
      <w:pPr>
        <w:tabs>
          <w:tab w:val="left" w:pos="105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13、不同投标人的投标文件相互混装。</w:t>
      </w:r>
    </w:p>
    <w:p w14:paraId="2A684A56">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八、开标、评标：</w:t>
      </w:r>
    </w:p>
    <w:p w14:paraId="65B8BF0B">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（一）开标</w:t>
      </w:r>
    </w:p>
    <w:p w14:paraId="2BC141C6">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w:t>
      </w:r>
      <w:r>
        <w:rPr>
          <w:rFonts w:hint="eastAsia" w:ascii="宋体" w:hAnsi="宋体" w:eastAsia="宋体" w:cs="Times New Roman"/>
          <w:bCs/>
          <w:sz w:val="24"/>
          <w:szCs w:val="24"/>
          <w:highlight w:val="none"/>
        </w:rPr>
        <w:t>开标由江阴市政府采购中心主持。</w:t>
      </w:r>
    </w:p>
    <w:p w14:paraId="4B1F0D73">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w:t>
      </w:r>
      <w:r>
        <w:rPr>
          <w:rFonts w:ascii="宋体" w:hAnsi="宋体" w:eastAsia="宋体" w:cs="Times New Roman"/>
          <w:sz w:val="24"/>
          <w:szCs w:val="24"/>
          <w:highlight w:val="none"/>
        </w:rPr>
        <w:t>开标过程由</w:t>
      </w:r>
      <w:r>
        <w:rPr>
          <w:rFonts w:hint="eastAsia" w:ascii="宋体" w:hAnsi="宋体" w:eastAsia="宋体" w:cs="Times New Roman"/>
          <w:sz w:val="24"/>
          <w:szCs w:val="24"/>
          <w:highlight w:val="none"/>
        </w:rPr>
        <w:t>江阴市政府采购中心</w:t>
      </w:r>
      <w:r>
        <w:rPr>
          <w:rFonts w:ascii="宋体" w:hAnsi="宋体" w:eastAsia="宋体" w:cs="Times New Roman"/>
          <w:sz w:val="24"/>
          <w:szCs w:val="24"/>
          <w:highlight w:val="none"/>
        </w:rPr>
        <w:t>负责记录。</w:t>
      </w:r>
    </w:p>
    <w:p w14:paraId="6FB56AF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w:t>
      </w:r>
      <w:r>
        <w:rPr>
          <w:rFonts w:ascii="宋体" w:hAnsi="宋体" w:eastAsia="宋体" w:cs="Times New Roman"/>
          <w:sz w:val="24"/>
          <w:szCs w:val="24"/>
          <w:highlight w:val="none"/>
        </w:rPr>
        <w:t>投标人未参加开标的，视同认可开标结果。</w:t>
      </w:r>
    </w:p>
    <w:p w14:paraId="014B6036">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（二）评标</w:t>
      </w:r>
    </w:p>
    <w:p w14:paraId="52DC994F">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14:paraId="6537C11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2、投标文件初审。初审分为资格性检查和符合性检查。</w:t>
      </w:r>
    </w:p>
    <w:p w14:paraId="37CEBD0C">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A、资格性检查：</w:t>
      </w:r>
    </w:p>
    <w:p w14:paraId="68591F2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（1）依据法律法规和招标文件的规定，资格审查小组对投标文件组成中的资格证明文件（文件1-文件2）等进行审查，以确定投标单位是否具备投标资格。</w:t>
      </w:r>
    </w:p>
    <w:p w14:paraId="01B5D82B">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w:t>
      </w:r>
      <w:r>
        <w:rPr>
          <w:rFonts w:ascii="宋体" w:hAnsi="宋体" w:eastAsia="宋体" w:cs="Times New Roman"/>
          <w:sz w:val="24"/>
          <w:szCs w:val="24"/>
          <w:highlight w:val="none"/>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highlight w:val="none"/>
        </w:rPr>
        <w:t>接受联合体的项目，两个以上的自然人、法人或者其他组织组成一个联合体，以一个投标单位的身份共同参加政府采购活动的，联合体成员存在不良信用记录的，视同联合体存在不良信用记录。</w:t>
      </w:r>
    </w:p>
    <w:p w14:paraId="6F18D4AA">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B、符合性检查：</w:t>
      </w:r>
    </w:p>
    <w:p w14:paraId="04868AD1">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（1）评标委员会依据招标文件的规定，从投标文件的有效性、完整性和对招标文件的响应程度进行审查，以确定是否对招标文件的实质性要求作出响应。</w:t>
      </w:r>
    </w:p>
    <w:p w14:paraId="25DF4F10">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353203A6">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（a）投标文件载明的采购项目的完成期限超过招标文件规定的期限</w:t>
      </w:r>
    </w:p>
    <w:p w14:paraId="0860913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（b）投标文件严重背离招标文件中确定的技术功能要求</w:t>
      </w:r>
    </w:p>
    <w:p w14:paraId="4971BD3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（c）投标文件附有采购人不能接受的商务条件</w:t>
      </w:r>
    </w:p>
    <w:p w14:paraId="15FA4167">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（d）不符合招标文件中规定的其他实质性要求</w:t>
      </w:r>
    </w:p>
    <w:p w14:paraId="37765856">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确定投标文件的响应性只根据投标文件本身的内容，而不寻求外部证据。</w:t>
      </w:r>
    </w:p>
    <w:p w14:paraId="0ECCA9A1">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如果投标文件没有实质上响应招标文件的要求，</w:t>
      </w:r>
      <w:r>
        <w:rPr>
          <w:rFonts w:ascii="宋体" w:hAnsi="宋体" w:eastAsia="宋体" w:cs="Times New Roman"/>
          <w:sz w:val="24"/>
          <w:szCs w:val="24"/>
          <w:highlight w:val="none"/>
        </w:rPr>
        <w:t>评标委员会</w:t>
      </w:r>
      <w:r>
        <w:rPr>
          <w:rFonts w:hint="eastAsia" w:ascii="宋体" w:hAnsi="宋体" w:eastAsia="宋体" w:cs="Times New Roman"/>
          <w:sz w:val="24"/>
          <w:szCs w:val="24"/>
          <w:highlight w:val="none"/>
        </w:rPr>
        <w:t>将予以拒绝。投标人不得通过修正或撤消不合要求的偏离或保留从而使其投标成为实质上响应的投标。</w:t>
      </w:r>
    </w:p>
    <w:p w14:paraId="2CA2D45D">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3、评标方法：具体办法和标准详见招标文件第四章《评标方法和评标标准》。</w:t>
      </w:r>
    </w:p>
    <w:p w14:paraId="429FB334">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4、投标文件的澄清：</w:t>
      </w:r>
      <w:r>
        <w:rPr>
          <w:rFonts w:ascii="宋体" w:hAnsi="宋体" w:eastAsia="宋体" w:cs="Times New Roman"/>
          <w:sz w:val="24"/>
          <w:szCs w:val="24"/>
          <w:highlight w:val="none"/>
        </w:rPr>
        <w:t>对于投标文件中含义不明确、同类问题表述不一致或者有明显文字和计算错误的内容，评标委员会应当以书面形式要求投标人作出必要的澄清、说明或者补正。</w:t>
      </w:r>
    </w:p>
    <w:p w14:paraId="577FBE20">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投标人的澄清、说明或者补正应当采用书面形式，并加盖公章，或者由法定代表人或其授权</w:t>
      </w:r>
      <w:r>
        <w:rPr>
          <w:rFonts w:hint="eastAsia" w:ascii="宋体" w:hAnsi="宋体" w:eastAsia="宋体" w:cs="Times New Roman"/>
          <w:sz w:val="24"/>
          <w:szCs w:val="24"/>
          <w:highlight w:val="none"/>
        </w:rPr>
        <w:t>委托人</w:t>
      </w:r>
      <w:r>
        <w:rPr>
          <w:rFonts w:ascii="宋体" w:hAnsi="宋体" w:eastAsia="宋体" w:cs="Times New Roman"/>
          <w:sz w:val="24"/>
          <w:szCs w:val="24"/>
          <w:highlight w:val="none"/>
        </w:rPr>
        <w:t>签字。投标人的澄清、说明或者补正不得超出投标文件的范围或者改变投标文件的实质性内容。</w:t>
      </w:r>
    </w:p>
    <w:p w14:paraId="6BDA7D34">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5、</w:t>
      </w:r>
      <w:r>
        <w:rPr>
          <w:rFonts w:ascii="宋体" w:hAnsi="宋体" w:eastAsia="宋体" w:cs="Times New Roman"/>
          <w:sz w:val="24"/>
          <w:szCs w:val="24"/>
          <w:highlight w:val="none"/>
        </w:rPr>
        <w:t>投标文件报价出现前后不一致的，按照下列规定修正：</w:t>
      </w:r>
    </w:p>
    <w:p w14:paraId="594C09FA">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（一）投标文件中开标一览表（报价表）内容与投标文件中相应内容不一致的，以开标一览表（报价表）为准；</w:t>
      </w:r>
    </w:p>
    <w:p w14:paraId="23EF12AF">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（二）大写金额和小写金额不一致的，以大写金额为准；</w:t>
      </w:r>
    </w:p>
    <w:p w14:paraId="6BD7B41F">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（三）单价金额小数点或者百分比有明显错位的，以开标一览表的总价为准，并修改单价；</w:t>
      </w:r>
    </w:p>
    <w:p w14:paraId="023304D0">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（四）总价金额与按单价汇总金额不一致的，以单价金额计算结果为准。</w:t>
      </w:r>
    </w:p>
    <w:p w14:paraId="7EE201FE">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同时出现两种以上不一致的，按照前款规定的顺序修正。修正后的报价按照</w:t>
      </w:r>
      <w:r>
        <w:rPr>
          <w:rFonts w:hint="eastAsia" w:ascii="宋体" w:hAnsi="宋体" w:eastAsia="宋体" w:cs="Times New Roman"/>
          <w:sz w:val="24"/>
          <w:szCs w:val="24"/>
          <w:highlight w:val="none"/>
        </w:rPr>
        <w:t>《政府采购货物和服务招标投标管理办法》</w:t>
      </w:r>
      <w:r>
        <w:rPr>
          <w:rFonts w:ascii="宋体" w:hAnsi="宋体" w:eastAsia="宋体" w:cs="Times New Roman"/>
          <w:sz w:val="24"/>
          <w:szCs w:val="24"/>
          <w:highlight w:val="none"/>
        </w:rPr>
        <w:t>第五十一条第二款的规定经投标人确认后产生约束力，投标人不确认的，其投标无效。</w:t>
      </w:r>
    </w:p>
    <w:p w14:paraId="2F8B0FAF">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6、异常低价投标（响应）审查</w:t>
      </w:r>
    </w:p>
    <w:p w14:paraId="37C5C2B7">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（1）评标（评审）过程中出现下列情形之一的，评标（评审）委员会应当启动异常低价投标（响应）审查程序：</w:t>
      </w:r>
    </w:p>
    <w:p w14:paraId="7DF334AD">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（a）投标（响应）报价低于全部通过符合性审查供应商投标（响应）报价平均值50%的，即投标（响应）报价&lt;全部通过符合性审查供应商投标（响应）报价平均值×50%；</w:t>
      </w:r>
    </w:p>
    <w:p w14:paraId="1A6A33C6">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（b）投标（响应）报价低于通过符合性审查的次低报价供应商投标（响应）报价50%的，即投标（响应）报价&lt;通过符合性审查的次低报价供应商投标（响应）报价×50%；</w:t>
      </w:r>
    </w:p>
    <w:p w14:paraId="1D4571BE">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（c）投标（响应）报价低于采购项目最高限价45%的，即投标（响应）报价&lt;采购项目最高限价×45%；</w:t>
      </w:r>
    </w:p>
    <w:p w14:paraId="034B1F33">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（d）评审委员会基于专业判断，认为供应商报价过低，有可能影响产品质量或者不能诚信履约的其他情形。</w:t>
      </w:r>
    </w:p>
    <w:p w14:paraId="1E751AE5">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39812029">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894CF91">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评审委员会借助互联网等渠道查询相关信息的，应当严格遵守评审工作纪律，不得实施影响评审公正的行为。</w:t>
      </w:r>
    </w:p>
    <w:p w14:paraId="746B53CF">
      <w:pPr>
        <w:spacing w:line="400" w:lineRule="exact"/>
        <w:ind w:firstLine="482" w:firstLineChars="200"/>
        <w:rPr>
          <w:rFonts w:ascii="宋体" w:hAnsi="宋体" w:eastAsia="宋体" w:cs="Times New Roman"/>
          <w:b/>
          <w:sz w:val="24"/>
          <w:szCs w:val="24"/>
          <w:highlight w:val="none"/>
        </w:rPr>
      </w:pPr>
      <w:r>
        <w:rPr>
          <w:rFonts w:hint="eastAsia" w:ascii="宋体" w:hAnsi="宋体" w:eastAsia="宋体" w:cs="Times New Roman"/>
          <w:b/>
          <w:sz w:val="24"/>
          <w:szCs w:val="24"/>
          <w:highlight w:val="none"/>
        </w:rPr>
        <w:t>（3）异常低价投标（响应）审查的启动原因、审查意见和审查结果应当在评审报告中记录，并随供应商提供的相关书面说明及证明材料，以及评审委员会有关互联网浏览、查询历史一并归档。</w:t>
      </w:r>
    </w:p>
    <w:p w14:paraId="72B5DC8E">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7、</w:t>
      </w:r>
      <w:r>
        <w:rPr>
          <w:rFonts w:ascii="宋体" w:hAnsi="宋体" w:eastAsia="宋体" w:cs="Times New Roman"/>
          <w:sz w:val="24"/>
          <w:szCs w:val="24"/>
          <w:highlight w:val="none"/>
        </w:rPr>
        <w:t>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highlight w:val="none"/>
        </w:rPr>
        <w:t>政府采购中心</w:t>
      </w:r>
      <w:r>
        <w:rPr>
          <w:rFonts w:ascii="宋体" w:hAnsi="宋体" w:eastAsia="宋体" w:cs="Times New Roman"/>
          <w:sz w:val="24"/>
          <w:szCs w:val="24"/>
          <w:highlight w:val="none"/>
        </w:rPr>
        <w:t>沟通并作书面记录。采购人或者</w:t>
      </w:r>
      <w:r>
        <w:rPr>
          <w:rFonts w:hint="eastAsia" w:ascii="宋体" w:hAnsi="宋体" w:eastAsia="宋体" w:cs="Times New Roman"/>
          <w:sz w:val="24"/>
          <w:szCs w:val="24"/>
          <w:highlight w:val="none"/>
        </w:rPr>
        <w:t>政府采购中心</w:t>
      </w:r>
      <w:r>
        <w:rPr>
          <w:rFonts w:ascii="宋体" w:hAnsi="宋体" w:eastAsia="宋体" w:cs="Times New Roman"/>
          <w:sz w:val="24"/>
          <w:szCs w:val="24"/>
          <w:highlight w:val="none"/>
        </w:rPr>
        <w:t>确认后，应当修改招标文件，重新组织采购活动。</w:t>
      </w:r>
    </w:p>
    <w:p w14:paraId="11DBB127">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九、确定中标单位：</w:t>
      </w:r>
    </w:p>
    <w:p w14:paraId="5B2B247E">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1、评标委员会根据</w:t>
      </w:r>
      <w:r>
        <w:rPr>
          <w:rFonts w:hint="eastAsia" w:ascii="宋体" w:hAnsi="宋体" w:eastAsia="宋体" w:cs="Times New Roman"/>
          <w:bCs/>
          <w:sz w:val="24"/>
          <w:szCs w:val="24"/>
          <w:highlight w:val="none"/>
        </w:rPr>
        <w:t>评标方法和评标标准确定</w:t>
      </w:r>
      <w:r>
        <w:rPr>
          <w:rFonts w:hint="eastAsia" w:ascii="宋体" w:hAnsi="宋体" w:eastAsia="宋体" w:cs="Times New Roman"/>
          <w:sz w:val="24"/>
          <w:szCs w:val="24"/>
          <w:highlight w:val="none"/>
        </w:rPr>
        <w:t>第一中标候选单位，采购人确定为中标单位。</w:t>
      </w:r>
    </w:p>
    <w:p w14:paraId="16691880">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2、确定中标单位2个工作日内发布中标公告，并向中标单位发出中标通知书。</w:t>
      </w:r>
    </w:p>
    <w:p w14:paraId="21AD7D5F">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3、投标、评标及确定中标单位的整个过程均由相关部门进行现场监督。</w:t>
      </w:r>
    </w:p>
    <w:p w14:paraId="59F92B8B">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4、江阴市政府采购中心不负责向任何投标单位说明中标或不中标的原因。</w:t>
      </w:r>
    </w:p>
    <w:p w14:paraId="0C8F2E1B">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十、质疑处理：</w:t>
      </w:r>
    </w:p>
    <w:p w14:paraId="278D091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投标单位质疑按《中华人民共和国政府采购法》、《中华人民共和国政府采购法实施条例》、《政府采购货物和服务招标投标管理办法》、《政府采购质疑和投诉办法》、《江苏省政府采购供应商监督管理暂行办法》有关规定处理。</w:t>
      </w:r>
    </w:p>
    <w:p w14:paraId="7DBD81CB">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2、投标单位认为采购文件、采购过程和中标结果使自己的权益受到损害的，可以在知道或者应知其权益受到损害之日起七个工作日内，以书面形式向采购人或采购中心提出质疑。</w:t>
      </w:r>
    </w:p>
    <w:p w14:paraId="4F3E2904">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5D24119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3、投标单位提出质疑应当提交质疑函和必要的证明材料。质疑函应当包括下列内容： </w:t>
      </w:r>
    </w:p>
    <w:p w14:paraId="5970587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（1）投标单位的姓名或者名称、地址、邮编、联系人及联系电话；</w:t>
      </w:r>
    </w:p>
    <w:p w14:paraId="1371A4D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（2）质疑项目的名称、编号；</w:t>
      </w:r>
    </w:p>
    <w:p w14:paraId="026D472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（3）具体、明确的质疑事项和与质疑事项相关的请求；</w:t>
      </w:r>
    </w:p>
    <w:p w14:paraId="7423BC16">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（4）事实依据；</w:t>
      </w:r>
    </w:p>
    <w:p w14:paraId="12EC41B2">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（5）必要的法律依据；</w:t>
      </w:r>
    </w:p>
    <w:p w14:paraId="0C994F2E">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（6）提出质疑的日期。</w:t>
      </w:r>
    </w:p>
    <w:p w14:paraId="55CD5030">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78CDE4BA">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（7）质疑人以联合体形式参加采购活动的，其质疑应由组成联合体的所有供应商共同提出。</w:t>
      </w:r>
    </w:p>
    <w:p w14:paraId="4A539076">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（8）质疑函、授权委托书格式请到江阴市公共资源交易中心网站的“政府采购</w:t>
      </w:r>
      <w:r>
        <w:rPr>
          <w:rFonts w:hint="eastAsia" w:ascii="宋体" w:hAnsi="宋体" w:eastAsia="宋体" w:cs="Times New Roman"/>
          <w:bCs/>
          <w:sz w:val="24"/>
          <w:szCs w:val="24"/>
          <w:highlight w:val="none"/>
        </w:rPr>
        <w:t>——＞</w:t>
      </w:r>
      <w:r>
        <w:rPr>
          <w:rFonts w:hint="eastAsia" w:ascii="宋体" w:hAnsi="宋体" w:eastAsia="宋体" w:cs="Times New Roman"/>
          <w:sz w:val="24"/>
          <w:szCs w:val="24"/>
          <w:highlight w:val="none"/>
        </w:rPr>
        <w:t>资料下载”中下载；</w:t>
      </w:r>
    </w:p>
    <w:p w14:paraId="1F77E7BF">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（9）未按上述要求提交的质疑函（仅限于原件）采购人、采购中心有权不予受理。</w:t>
      </w:r>
    </w:p>
    <w:p w14:paraId="7530F7CE">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57F235A9">
      <w:pPr>
        <w:spacing w:line="400" w:lineRule="exact"/>
        <w:ind w:firstLine="480" w:firstLineChars="200"/>
        <w:rPr>
          <w:rFonts w:ascii="宋体" w:hAnsi="宋体" w:eastAsia="宋体" w:cs="Times New Roman"/>
          <w:b/>
          <w:sz w:val="24"/>
          <w:szCs w:val="24"/>
          <w:highlight w:val="none"/>
        </w:rPr>
      </w:pPr>
      <w:r>
        <w:rPr>
          <w:rFonts w:hint="eastAsia" w:ascii="宋体" w:hAnsi="宋体" w:eastAsia="宋体" w:cs="Times New Roman"/>
          <w:sz w:val="24"/>
          <w:szCs w:val="24"/>
          <w:highlight w:val="none"/>
        </w:rPr>
        <w:t>5、</w:t>
      </w:r>
      <w:r>
        <w:rPr>
          <w:rFonts w:hint="eastAsia" w:ascii="宋体" w:hAnsi="宋体" w:eastAsia="宋体" w:cs="Times New Roman"/>
          <w:b/>
          <w:sz w:val="24"/>
          <w:szCs w:val="24"/>
          <w:highlight w:val="none"/>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5866117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采购人、采购中心只接收以纸质原件形式送达的质疑,投标单位可采用现场递交或邮寄递交方式送达（采购人和采购中心不接受未填写快递运单的快件）。</w:t>
      </w:r>
    </w:p>
    <w:p w14:paraId="5D3168B3">
      <w:pPr>
        <w:spacing w:line="400" w:lineRule="exact"/>
        <w:ind w:firstLine="480" w:firstLineChars="200"/>
        <w:rPr>
          <w:rFonts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采购人收件人：张</w:t>
      </w:r>
      <w:r>
        <w:rPr>
          <w:rFonts w:hint="eastAsia" w:ascii="宋体" w:hAnsi="宋体" w:eastAsia="宋体" w:cs="Times New Roman"/>
          <w:sz w:val="24"/>
          <w:szCs w:val="24"/>
          <w:highlight w:val="none"/>
          <w:u w:val="single"/>
          <w:lang w:eastAsia="zh-CN"/>
        </w:rPr>
        <w:t>先生</w:t>
      </w:r>
      <w:r>
        <w:rPr>
          <w:rFonts w:hint="eastAsia" w:ascii="宋体" w:hAnsi="宋体" w:eastAsia="宋体" w:cs="Times New Roman"/>
          <w:sz w:val="24"/>
          <w:szCs w:val="24"/>
          <w:highlight w:val="none"/>
          <w:u w:val="single"/>
        </w:rPr>
        <w:t xml:space="preserve">  收件地址：滨江中路207号  收件电话：</w:t>
      </w:r>
      <w:r>
        <w:rPr>
          <w:rFonts w:hint="eastAsia" w:ascii="宋体" w:hAnsi="宋体" w:eastAsia="宋体" w:cs="Times New Roman"/>
          <w:sz w:val="24"/>
          <w:szCs w:val="24"/>
          <w:highlight w:val="none"/>
          <w:u w:val="single"/>
          <w:lang w:val="en-US" w:eastAsia="zh-CN"/>
        </w:rPr>
        <w:t>0510-</w:t>
      </w:r>
      <w:r>
        <w:rPr>
          <w:rFonts w:hint="eastAsia" w:ascii="宋体" w:hAnsi="宋体" w:eastAsia="宋体" w:cs="Times New Roman"/>
          <w:sz w:val="24"/>
          <w:szCs w:val="24"/>
          <w:highlight w:val="none"/>
          <w:u w:val="single"/>
        </w:rPr>
        <w:t xml:space="preserve">80601328 </w:t>
      </w:r>
    </w:p>
    <w:p w14:paraId="14DEE490">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u w:val="single"/>
        </w:rPr>
        <w:t>采购中心收件人：张先生  收件地址：江阴市长江路188号江阴市政务服务中心619、621室  收件电话：18961621156</w:t>
      </w:r>
    </w:p>
    <w:p w14:paraId="34678C88">
      <w:pPr>
        <w:spacing w:line="400" w:lineRule="exact"/>
        <w:ind w:firstLine="482" w:firstLineChars="200"/>
        <w:rPr>
          <w:rFonts w:ascii="宋体" w:hAnsi="宋体" w:eastAsia="宋体" w:cs="Times New Roman"/>
          <w:sz w:val="24"/>
          <w:szCs w:val="24"/>
          <w:highlight w:val="none"/>
        </w:rPr>
      </w:pPr>
      <w:r>
        <w:rPr>
          <w:rFonts w:hint="eastAsia" w:ascii="宋体" w:hAnsi="宋体" w:eastAsia="宋体" w:cs="Times New Roman"/>
          <w:b/>
          <w:sz w:val="24"/>
          <w:szCs w:val="24"/>
          <w:highlight w:val="none"/>
        </w:rPr>
        <w:t>投标单位应当在快递寄出后联系采购人或采购中心告知质疑函接收时间及质疑函快递单号</w:t>
      </w:r>
      <w:r>
        <w:rPr>
          <w:rFonts w:hint="eastAsia" w:ascii="宋体" w:hAnsi="宋体" w:eastAsia="宋体" w:cs="Times New Roman"/>
          <w:sz w:val="24"/>
          <w:szCs w:val="24"/>
          <w:highlight w:val="none"/>
        </w:rPr>
        <w:t>，因未告知接收时间导致未及时答复质疑的，采购人、采购中心将不予承担责任。</w:t>
      </w:r>
    </w:p>
    <w:p w14:paraId="595DA828">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6、潜在投标单位已依法获取其可质疑的采购文件的，可以对该文件提出质疑。</w:t>
      </w:r>
      <w:r>
        <w:rPr>
          <w:rFonts w:hint="eastAsia" w:ascii="宋体" w:hAnsi="宋体" w:eastAsia="宋体" w:cs="Times New Roman"/>
          <w:b/>
          <w:sz w:val="24"/>
          <w:szCs w:val="24"/>
          <w:highlight w:val="none"/>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highlight w:val="none"/>
        </w:rPr>
        <w:t>对采购文件提出质疑时，以非书面形式、属于对采购文件解释澄清范围、采购公告期限届满之日起七个工作日之外提交、未同时提供依法获取采购文件的证明以及匿名的质疑将不予受理。</w:t>
      </w:r>
    </w:p>
    <w:p w14:paraId="09276A1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5D914423">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2822A761">
      <w:pPr>
        <w:spacing w:line="400" w:lineRule="exact"/>
        <w:ind w:firstLine="480" w:firstLineChars="200"/>
        <w:rPr>
          <w:rFonts w:ascii="宋体" w:hAnsi="宋体" w:eastAsia="宋体" w:cs="Times New Roman"/>
          <w:szCs w:val="24"/>
          <w:highlight w:val="none"/>
        </w:rPr>
      </w:pPr>
      <w:r>
        <w:rPr>
          <w:rFonts w:hint="eastAsia" w:ascii="宋体" w:hAnsi="宋体" w:eastAsia="宋体" w:cs="Times New Roman"/>
          <w:sz w:val="24"/>
          <w:szCs w:val="24"/>
          <w:highlight w:val="none"/>
        </w:rPr>
        <w:t xml:space="preserve">9、采购人、采购中心将在收到投标单位的有效书面质疑函后七个工作日内作出答复，并以书面形式通知质疑投标单位和其他有关投标单位，但答复的内容不得涉及商业秘密。 </w:t>
      </w:r>
    </w:p>
    <w:p w14:paraId="5D761DE2">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十一、采购项目的废标：</w:t>
      </w:r>
    </w:p>
    <w:p w14:paraId="56D38118">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在评标采购中，出现下列情况之一的，应予废标；</w:t>
      </w:r>
    </w:p>
    <w:p w14:paraId="6F364844">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1、符合专业条件的投标人或者对招标文件作出实质性响应的投标人不足三家的；</w:t>
      </w:r>
    </w:p>
    <w:p w14:paraId="3C70090F">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2、出现影响采购公正的违法、违规行为的；</w:t>
      </w:r>
    </w:p>
    <w:p w14:paraId="187DADF4">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3、投标单位的报价均超过采购预算，采购人不能支付的；</w:t>
      </w:r>
    </w:p>
    <w:p w14:paraId="67667F41">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4、因重大变故，采购任务取消的。</w:t>
      </w:r>
    </w:p>
    <w:p w14:paraId="54AD109A">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6250DEEC">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十二、投标保证金：</w:t>
      </w:r>
      <w:r>
        <w:rPr>
          <w:rFonts w:hint="eastAsia" w:ascii="宋体" w:hAnsi="宋体" w:eastAsia="宋体" w:cs="Times New Roman"/>
          <w:bCs/>
          <w:sz w:val="24"/>
          <w:szCs w:val="24"/>
          <w:highlight w:val="none"/>
        </w:rPr>
        <w:t>本项目免收投标保证金。</w:t>
      </w:r>
    </w:p>
    <w:p w14:paraId="5D07455A">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十三、中标无效的确认：</w:t>
      </w:r>
    </w:p>
    <w:p w14:paraId="5EE1413B">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7EA30B3">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（一）提供虚假材料谋取中标、成交的；</w:t>
      </w:r>
    </w:p>
    <w:p w14:paraId="21E9EC97">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（二）采取不正当手段诋毁、排挤其他投标单位的；</w:t>
      </w:r>
    </w:p>
    <w:p w14:paraId="0231338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（三）与采购人、其他投标单位或者采购代理机构恶意串通的；</w:t>
      </w:r>
    </w:p>
    <w:p w14:paraId="6B8A05C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（四）向采购人、采购代理机构行贿或者提供其他不正当利益的；</w:t>
      </w:r>
    </w:p>
    <w:p w14:paraId="1589C011">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（五）在招标采购过程中与采购人进行协商谈判的；</w:t>
      </w:r>
    </w:p>
    <w:p w14:paraId="5427391C">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（六）拒绝有关部门监督检查或者提供虚假情况的。</w:t>
      </w:r>
    </w:p>
    <w:p w14:paraId="35B9D090">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投标单位有前款第（一）至（五）项情形之一的，中标无效。</w:t>
      </w:r>
    </w:p>
    <w:p w14:paraId="53527349">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十四、签订合同：</w:t>
      </w:r>
    </w:p>
    <w:p w14:paraId="6219167D">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5F2D7A26">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2、签订合同时，中标方须向采购人提供1份与网上投标文件一致的纸质打印投标文件。</w:t>
      </w:r>
    </w:p>
    <w:p w14:paraId="592CDC1C">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3、签订合同后，中标人不得将合同标的进行转包。未经采购人同意，中标人也不得采用分包的形式履行合同，否则采购人有权终止合同。转包或分包造成采购人损失的，中标人应承担相应赔偿责任。</w:t>
      </w:r>
    </w:p>
    <w:p w14:paraId="0753E174">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w:t>
      </w:r>
      <w:r>
        <w:rPr>
          <w:rFonts w:ascii="宋体" w:hAnsi="宋体" w:eastAsia="宋体" w:cs="Times New Roman"/>
          <w:sz w:val="24"/>
          <w:szCs w:val="24"/>
          <w:highlight w:val="none"/>
        </w:rPr>
        <w:t>、履约保证金的收取：合同签署</w:t>
      </w:r>
      <w:r>
        <w:rPr>
          <w:rFonts w:hint="eastAsia" w:ascii="宋体" w:hAnsi="宋体" w:eastAsia="宋体" w:cs="Times New Roman"/>
          <w:sz w:val="24"/>
          <w:szCs w:val="24"/>
          <w:highlight w:val="none"/>
        </w:rPr>
        <w:t>时</w:t>
      </w:r>
      <w:r>
        <w:rPr>
          <w:rFonts w:ascii="宋体" w:hAnsi="宋体" w:eastAsia="宋体" w:cs="Times New Roman"/>
          <w:sz w:val="24"/>
          <w:szCs w:val="24"/>
          <w:highlight w:val="none"/>
        </w:rPr>
        <w:t>，中标方向采购单位缴纳履约保证金。</w:t>
      </w:r>
      <w:r>
        <w:rPr>
          <w:rFonts w:hint="eastAsia" w:ascii="宋体" w:hAnsi="宋体" w:eastAsia="宋体" w:cs="Times New Roman"/>
          <w:bCs/>
          <w:sz w:val="24"/>
          <w:szCs w:val="24"/>
          <w:highlight w:val="none"/>
        </w:rPr>
        <w:t>中标方向采购单位缴纳的履约保证金不超过政府采购合同金额的10%。收取履约保证金的，采购人应当允许</w:t>
      </w:r>
      <w:r>
        <w:rPr>
          <w:rFonts w:ascii="宋体" w:hAnsi="宋体" w:eastAsia="宋体" w:cs="Times New Roman"/>
          <w:bCs/>
          <w:sz w:val="24"/>
          <w:szCs w:val="24"/>
          <w:highlight w:val="none"/>
        </w:rPr>
        <w:t>供应商自主选择以支票、 汇票、 本票、 保函等非现金形式缴纳或提交，</w:t>
      </w:r>
      <w:r>
        <w:rPr>
          <w:rFonts w:hint="eastAsia" w:ascii="宋体" w:hAnsi="宋体" w:eastAsia="宋体" w:cs="Times New Roman"/>
          <w:bCs/>
          <w:sz w:val="24"/>
          <w:szCs w:val="24"/>
          <w:highlight w:val="none"/>
        </w:rPr>
        <w:t>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highlight w:val="none"/>
        </w:rPr>
        <w:t>采购单位收到缴纳的履约保证金后需向中标单位出具有效的履约保证金收款凭证。</w:t>
      </w:r>
    </w:p>
    <w:p w14:paraId="5C556A3A">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5</w:t>
      </w:r>
      <w:r>
        <w:rPr>
          <w:rFonts w:ascii="宋体" w:hAnsi="宋体" w:eastAsia="宋体" w:cs="Times New Roman"/>
          <w:sz w:val="24"/>
          <w:szCs w:val="24"/>
          <w:highlight w:val="none"/>
        </w:rPr>
        <w:t>、履约保证金的管理及退还：采购单位应做好履约保证金的账务处理工作，实行专项管理，</w:t>
      </w:r>
      <w:r>
        <w:rPr>
          <w:rFonts w:hint="eastAsia" w:ascii="宋体" w:hAnsi="宋体" w:eastAsia="宋体" w:cs="Times New Roman"/>
          <w:sz w:val="24"/>
          <w:szCs w:val="24"/>
          <w:highlight w:val="none"/>
        </w:rPr>
        <w:t>不得违规收取、挪用、截留等</w:t>
      </w:r>
      <w:r>
        <w:rPr>
          <w:rFonts w:ascii="宋体" w:hAnsi="宋体" w:eastAsia="宋体" w:cs="Times New Roman"/>
          <w:sz w:val="24"/>
          <w:szCs w:val="24"/>
          <w:highlight w:val="none"/>
        </w:rPr>
        <w:t>其他用途。</w:t>
      </w:r>
      <w:r>
        <w:rPr>
          <w:rFonts w:hint="eastAsia" w:ascii="宋体" w:hAnsi="宋体" w:eastAsia="宋体" w:cs="Times New Roman"/>
          <w:sz w:val="24"/>
          <w:szCs w:val="24"/>
          <w:highlight w:val="none"/>
        </w:rPr>
        <w:t>采购单位按照采购合同约定及时退还履约保证金，不计利息。</w:t>
      </w:r>
    </w:p>
    <w:p w14:paraId="57F164D8">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十五、付款方式：</w:t>
      </w:r>
      <w:r>
        <w:rPr>
          <w:rFonts w:hint="eastAsia" w:ascii="宋体" w:hAnsi="宋体" w:eastAsia="宋体" w:cs="Times New Roman"/>
          <w:sz w:val="24"/>
          <w:szCs w:val="24"/>
          <w:highlight w:val="none"/>
        </w:rPr>
        <w:t>详见项目要求。</w:t>
      </w:r>
    </w:p>
    <w:p w14:paraId="17642B98">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十六、政策功能（包括但不限于下列具体政策要求）：</w:t>
      </w:r>
    </w:p>
    <w:p w14:paraId="6D2492B0">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lang w:val="zh-CN"/>
        </w:rPr>
        <w:t>1、根据《财政部、工业和信息化部关于印发《政府采购促进中小企业发展管理办法》的通知》（财库</w:t>
      </w:r>
      <w:r>
        <w:rPr>
          <w:rFonts w:hint="eastAsia" w:ascii="宋体" w:hAnsi="宋体" w:eastAsia="宋体" w:cs="Times New Roman"/>
          <w:sz w:val="24"/>
          <w:szCs w:val="24"/>
          <w:highlight w:val="none"/>
        </w:rPr>
        <w:t>[2020]</w:t>
      </w:r>
      <w:r>
        <w:rPr>
          <w:rFonts w:hint="eastAsia" w:ascii="宋体" w:hAnsi="宋体" w:eastAsia="宋体" w:cs="Times New Roman"/>
          <w:sz w:val="24"/>
          <w:szCs w:val="24"/>
          <w:highlight w:val="none"/>
          <w:lang w:val="zh-CN"/>
        </w:rPr>
        <w:t>46号）的规定，符合《政府采购促进中小企业发展管理办法》第四条所述情形的小型、微型企业参加本项目</w:t>
      </w:r>
      <w:r>
        <w:rPr>
          <w:rFonts w:hint="eastAsia" w:ascii="宋体" w:hAnsi="宋体" w:eastAsia="宋体" w:cs="Times New Roman"/>
          <w:sz w:val="24"/>
          <w:szCs w:val="24"/>
          <w:highlight w:val="none"/>
        </w:rPr>
        <w:t>，给予20%的价格扣除，用扣除后的价格参与评审。参加投标的</w:t>
      </w:r>
      <w:r>
        <w:rPr>
          <w:rFonts w:hint="eastAsia" w:ascii="宋体" w:hAnsi="宋体" w:eastAsia="宋体" w:cs="Times New Roman"/>
          <w:sz w:val="24"/>
          <w:szCs w:val="24"/>
          <w:highlight w:val="none"/>
          <w:lang w:val="zh-CN"/>
        </w:rPr>
        <w:t>小型、微型企业</w:t>
      </w:r>
      <w:r>
        <w:rPr>
          <w:rFonts w:hint="eastAsia" w:ascii="宋体" w:hAnsi="宋体" w:eastAsia="宋体" w:cs="Times New Roman"/>
          <w:sz w:val="24"/>
          <w:szCs w:val="24"/>
          <w:highlight w:val="none"/>
        </w:rPr>
        <w:t>，应当出具</w:t>
      </w:r>
      <w:r>
        <w:rPr>
          <w:rFonts w:hint="eastAsia" w:ascii="宋体" w:hAnsi="宋体" w:eastAsia="宋体" w:cs="Times New Roman"/>
          <w:sz w:val="24"/>
          <w:szCs w:val="24"/>
          <w:highlight w:val="none"/>
          <w:lang w:val="zh-CN"/>
        </w:rPr>
        <w:t>《政府采购促进中小企业发展管理办法》规定的</w:t>
      </w:r>
      <w:r>
        <w:rPr>
          <w:rFonts w:hint="eastAsia" w:ascii="宋体" w:hAnsi="宋体" w:eastAsia="宋体" w:cs="Times New Roman"/>
          <w:sz w:val="24"/>
          <w:szCs w:val="24"/>
          <w:highlight w:val="none"/>
        </w:rPr>
        <w:t>《中小企业声明函》（格式见后）（“中小企业划型标准”详见《关于印发中小企业划型标准规定的通知》工信部联企业〔2011〕300号及《国家统计局关于印发统计上大中小微型企业划分办法（2017）的通知》国统字〔2017〕213号）。</w:t>
      </w:r>
    </w:p>
    <w:p w14:paraId="04E39C1E">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sz w:val="24"/>
          <w:szCs w:val="24"/>
          <w:highlight w:val="none"/>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6B100AC8">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67FFC03D">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4、同一投标人，上述三项价格扣除优惠不得重复享受。</w:t>
      </w:r>
    </w:p>
    <w:p w14:paraId="1806469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5DF6D7B3">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6、中标供应商享受中小企业扶持政策的，江阴市政府采购中心将随中标结果公开中标供应商的《中小企业声明函》。</w:t>
      </w:r>
    </w:p>
    <w:p w14:paraId="7969C3E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7、供应商提供声明函内容不实的，属于提供虚假材料谋取中标，依照《中华人民共和国政府采购法》等国家有关规定追究相应责任。</w:t>
      </w:r>
    </w:p>
    <w:p w14:paraId="3649848E">
      <w:pPr>
        <w:adjustRightInd w:val="0"/>
        <w:spacing w:line="400" w:lineRule="exact"/>
        <w:ind w:firstLine="482" w:firstLineChars="200"/>
        <w:jc w:val="left"/>
        <w:textAlignment w:val="baseline"/>
        <w:rPr>
          <w:rFonts w:ascii="宋体" w:hAnsi="宋体" w:eastAsia="宋体" w:cs="Times New Roman"/>
          <w:b/>
          <w:sz w:val="24"/>
          <w:szCs w:val="24"/>
          <w:highlight w:val="none"/>
        </w:rPr>
      </w:pPr>
      <w:r>
        <w:rPr>
          <w:rFonts w:hint="eastAsia" w:ascii="宋体" w:hAnsi="宋体" w:eastAsia="宋体" w:cs="Times New Roman"/>
          <w:b/>
          <w:sz w:val="24"/>
          <w:szCs w:val="24"/>
          <w:highlight w:val="none"/>
        </w:rPr>
        <w:t>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p>
    <w:p w14:paraId="24B73E72">
      <w:pPr>
        <w:adjustRightInd w:val="0"/>
        <w:spacing w:line="400" w:lineRule="exact"/>
        <w:ind w:firstLine="480" w:firstLineChars="200"/>
        <w:jc w:val="left"/>
        <w:textAlignment w:val="baseline"/>
        <w:rPr>
          <w:rFonts w:ascii="宋体" w:hAnsi="宋体" w:eastAsia="宋体" w:cs="Times New Roman"/>
          <w:sz w:val="24"/>
          <w:szCs w:val="24"/>
          <w:highlight w:val="none"/>
        </w:rPr>
      </w:pPr>
      <w:r>
        <w:rPr>
          <w:rFonts w:hint="eastAsia" w:ascii="宋体" w:hAnsi="宋体" w:eastAsia="宋体" w:cs="Times New Roman"/>
          <w:sz w:val="24"/>
          <w:szCs w:val="24"/>
          <w:highlight w:val="none"/>
        </w:rPr>
        <w:t>（1）政府采购活动中既有本国产品又有非本国产品参与竞争的，依法对本国产品给予价格评审优惠，对本国产品的报价给予20%的价格扣除，用扣除后的价格参与评审。</w:t>
      </w:r>
    </w:p>
    <w:p w14:paraId="6A2E8FFB">
      <w:pPr>
        <w:adjustRightInd w:val="0"/>
        <w:spacing w:line="400" w:lineRule="exact"/>
        <w:ind w:firstLine="480" w:firstLineChars="200"/>
        <w:jc w:val="left"/>
        <w:textAlignment w:val="baseline"/>
        <w:rPr>
          <w:rFonts w:ascii="宋体" w:hAnsi="宋体" w:eastAsia="宋体" w:cs="Times New Roman"/>
          <w:sz w:val="24"/>
          <w:szCs w:val="24"/>
          <w:highlight w:val="none"/>
        </w:rPr>
      </w:pPr>
      <w:r>
        <w:rPr>
          <w:rFonts w:hint="eastAsia" w:ascii="宋体" w:hAnsi="宋体" w:eastAsia="宋体" w:cs="Times New Roman"/>
          <w:sz w:val="24"/>
          <w:szCs w:val="24"/>
          <w:highlight w:val="none"/>
        </w:rPr>
        <w:t>（2）当采购项目或者采购包中含有多种产品，供应商为该采购项目或者采购包提供的符合本国产品标准的产品成本之和占该供应商提供的全部产品成本之和的比例达到80%以上时（供应商需在“第六章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83D391F">
      <w:pPr>
        <w:spacing w:line="400" w:lineRule="exact"/>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其中，“符合本国产品标准的产品成本之和”是指本项目或采购包中符合本国产品标准的货物成本之和；“全部产品成本之和”是指货物或服务项目（或者采购包）中包含的全部货物、服务产品的成本之和。</w:t>
      </w:r>
    </w:p>
    <w:p w14:paraId="546DF326">
      <w:pPr>
        <w:adjustRightInd w:val="0"/>
        <w:spacing w:line="400" w:lineRule="exact"/>
        <w:ind w:firstLine="480" w:firstLineChars="200"/>
        <w:jc w:val="left"/>
        <w:textAlignment w:val="baseline"/>
        <w:rPr>
          <w:rFonts w:ascii="宋体" w:hAnsi="宋体" w:eastAsia="宋体" w:cs="Times New Roman"/>
          <w:sz w:val="24"/>
          <w:szCs w:val="24"/>
          <w:highlight w:val="none"/>
        </w:rPr>
      </w:pPr>
      <w:r>
        <w:rPr>
          <w:rFonts w:hint="eastAsia" w:ascii="宋体" w:hAnsi="宋体" w:eastAsia="宋体" w:cs="Times New Roman"/>
          <w:sz w:val="24"/>
          <w:szCs w:val="24"/>
          <w:highlight w:val="none"/>
        </w:rPr>
        <w:t>（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p>
    <w:p w14:paraId="2695D49B">
      <w:pPr>
        <w:spacing w:line="400" w:lineRule="exact"/>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p>
    <w:p w14:paraId="29CBE43F">
      <w:pPr>
        <w:spacing w:line="400" w:lineRule="exact"/>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5）对于非专门面向中小企业的采购项目或采购包，既有本国产品也有非本国产品参与竞争，且提供本国产品的供应商同时为小微企业的，对该供应商的产品同时给予支持本国产品和小微企业产品的价格评审优惠。</w:t>
      </w:r>
    </w:p>
    <w:p w14:paraId="6B5A5C93">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10606758">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2C30A3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195278A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12、本项目中如有涉及采购数据中心相关设备、运维服务的，应当按《关于印发〈绿色数据中心政府采购需求标准（试行）〉的通知》（财库〔2023〕7号）文件执行。</w:t>
      </w:r>
    </w:p>
    <w:p w14:paraId="394F5147">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28FAD2A">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14、机关、事业单位从中小企业采购货物、工程、服务，应当遵守《保障中小企业款项支付条例》（中华人民共和国国务院令第802号）。</w:t>
      </w:r>
    </w:p>
    <w:p w14:paraId="2DC9422A">
      <w:pPr>
        <w:spacing w:line="400" w:lineRule="exact"/>
        <w:rPr>
          <w:rFonts w:ascii="黑体" w:hAnsi="宋体" w:eastAsia="黑体" w:cs="Times New Roman"/>
          <w:sz w:val="28"/>
          <w:szCs w:val="28"/>
          <w:highlight w:val="none"/>
        </w:rPr>
      </w:pPr>
      <w:r>
        <w:rPr>
          <w:rFonts w:hint="eastAsia" w:ascii="黑体" w:hAnsi="宋体" w:eastAsia="黑体" w:cs="Times New Roman"/>
          <w:sz w:val="28"/>
          <w:szCs w:val="28"/>
          <w:highlight w:val="none"/>
        </w:rPr>
        <w:t>十七、履约保函政策：</w:t>
      </w:r>
    </w:p>
    <w:p w14:paraId="37735BBB">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104F3C6D">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4F3FA0D6">
      <w:pPr>
        <w:spacing w:line="400" w:lineRule="exact"/>
        <w:jc w:val="left"/>
        <w:rPr>
          <w:rFonts w:ascii="宋体" w:hAnsi="宋体" w:eastAsia="宋体" w:cs="Times New Roman"/>
          <w:szCs w:val="24"/>
          <w:highlight w:val="none"/>
        </w:rPr>
      </w:pPr>
      <w:r>
        <w:rPr>
          <w:rFonts w:hint="eastAsia" w:ascii="黑体" w:hAnsi="宋体" w:eastAsia="黑体" w:cs="Times New Roman"/>
          <w:sz w:val="28"/>
          <w:szCs w:val="28"/>
          <w:highlight w:val="none"/>
        </w:rPr>
        <w:t>十八、政府采购合同融资：</w:t>
      </w:r>
    </w:p>
    <w:p w14:paraId="63EB0C95">
      <w:pPr>
        <w:spacing w:line="400" w:lineRule="exact"/>
        <w:ind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根据国家扶持中小企业的有关政策，在我中心组织的采购项目中标、成交的供应商可根据自身情况，自行决定是否选择采用合同融资形式，如需要政府采购合同融资，请按锡财购【2020】17号文件执行。</w:t>
      </w:r>
    </w:p>
    <w:p w14:paraId="039E9DCA">
      <w:pPr>
        <w:spacing w:line="400" w:lineRule="exact"/>
        <w:ind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D944E96">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十九、质量及验收：</w:t>
      </w:r>
    </w:p>
    <w:p w14:paraId="63747701">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2E91CFF3">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二十、中标服务费：</w:t>
      </w:r>
    </w:p>
    <w:p w14:paraId="0C52CBD7">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本次采购，江阴市政府采购中心为中标单位提供免费服务。 </w:t>
      </w:r>
    </w:p>
    <w:p w14:paraId="43C4E86F">
      <w:pPr>
        <w:pStyle w:val="28"/>
        <w:rPr>
          <w:highlight w:val="none"/>
        </w:rPr>
        <w:sectPr>
          <w:pgSz w:w="11906" w:h="16838"/>
          <w:pgMar w:top="1247" w:right="1247" w:bottom="1247" w:left="1247" w:header="680" w:footer="992" w:gutter="0"/>
          <w:pgNumType w:fmt="numberInDash"/>
          <w:cols w:space="720" w:num="1"/>
          <w:docGrid w:linePitch="312" w:charSpace="0"/>
        </w:sectPr>
      </w:pPr>
    </w:p>
    <w:p w14:paraId="31CC9E58">
      <w:pPr>
        <w:pStyle w:val="28"/>
        <w:rPr>
          <w:highlight w:val="none"/>
        </w:rPr>
      </w:pPr>
    </w:p>
    <w:p w14:paraId="421E87EE">
      <w:pPr>
        <w:pStyle w:val="28"/>
        <w:numPr>
          <w:ilvl w:val="0"/>
          <w:numId w:val="1"/>
        </w:numPr>
        <w:rPr>
          <w:highlight w:val="none"/>
        </w:rPr>
      </w:pPr>
      <w:bookmarkStart w:id="10" w:name="_Toc213847315"/>
      <w:r>
        <w:rPr>
          <w:rFonts w:hint="eastAsia"/>
          <w:highlight w:val="none"/>
        </w:rPr>
        <w:t>项目要求和有关说明</w:t>
      </w:r>
      <w:bookmarkEnd w:id="10"/>
      <w:bookmarkStart w:id="11" w:name="_Toc251268361"/>
    </w:p>
    <w:p w14:paraId="54E90846">
      <w:pPr>
        <w:tabs>
          <w:tab w:val="left" w:pos="945"/>
        </w:tabs>
        <w:spacing w:line="400" w:lineRule="exact"/>
        <w:jc w:val="center"/>
        <w:outlineLvl w:val="1"/>
        <w:rPr>
          <w:rFonts w:hint="eastAsia" w:ascii="宋体" w:hAnsi="宋体" w:eastAsia="宋体" w:cs="宋体"/>
          <w:sz w:val="28"/>
          <w:szCs w:val="28"/>
          <w:highlight w:val="none"/>
        </w:rPr>
      </w:pPr>
      <w:r>
        <w:rPr>
          <w:rFonts w:hint="eastAsia" w:ascii="宋体" w:hAnsi="宋体" w:eastAsia="宋体" w:cs="宋体"/>
          <w:b/>
          <w:kern w:val="15"/>
          <w:position w:val="2"/>
          <w:sz w:val="24"/>
          <w:szCs w:val="22"/>
          <w:highlight w:val="none"/>
        </w:rPr>
        <w:t>（</w:t>
      </w:r>
      <w:r>
        <w:rPr>
          <w:rFonts w:hint="eastAsia" w:ascii="宋体" w:hAnsi="宋体" w:eastAsia="宋体" w:cs="宋体"/>
          <w:b/>
          <w:bCs/>
          <w:sz w:val="24"/>
          <w:szCs w:val="24"/>
          <w:highlight w:val="none"/>
        </w:rPr>
        <w:t>以下除“三、</w:t>
      </w:r>
      <w:r>
        <w:rPr>
          <w:rFonts w:hint="eastAsia" w:ascii="宋体" w:hAnsi="宋体" w:eastAsia="宋体" w:cs="宋体"/>
          <w:b/>
          <w:bCs/>
          <w:sz w:val="24"/>
          <w:szCs w:val="24"/>
          <w:highlight w:val="none"/>
          <w:lang w:eastAsia="zh-CN"/>
        </w:rPr>
        <w:t>主要技术参数</w:t>
      </w:r>
      <w:r>
        <w:rPr>
          <w:rFonts w:hint="eastAsia" w:ascii="宋体" w:hAnsi="宋体" w:eastAsia="宋体" w:cs="宋体"/>
          <w:b/>
          <w:bCs/>
          <w:sz w:val="24"/>
          <w:szCs w:val="24"/>
          <w:highlight w:val="none"/>
        </w:rPr>
        <w:t>”中的非打“★”项，其余均为实质性要求</w:t>
      </w:r>
      <w:r>
        <w:rPr>
          <w:rFonts w:hint="eastAsia" w:ascii="宋体" w:hAnsi="宋体" w:eastAsia="宋体" w:cs="宋体"/>
          <w:b/>
          <w:kern w:val="15"/>
          <w:position w:val="2"/>
          <w:sz w:val="24"/>
          <w:szCs w:val="22"/>
          <w:highlight w:val="none"/>
        </w:rPr>
        <w:t>）</w:t>
      </w:r>
    </w:p>
    <w:p w14:paraId="0C946E7C">
      <w:pPr>
        <w:spacing w:line="400" w:lineRule="exact"/>
        <w:outlineLvl w:val="0"/>
        <w:rPr>
          <w:rFonts w:hint="eastAsia" w:ascii="宋体" w:hAnsi="宋体" w:eastAsia="宋体" w:cs="宋体"/>
          <w:b/>
          <w:bCs w:val="0"/>
          <w:sz w:val="28"/>
          <w:szCs w:val="28"/>
          <w:highlight w:val="none"/>
          <w:lang w:eastAsia="zh-CN"/>
        </w:rPr>
      </w:pPr>
      <w:r>
        <w:rPr>
          <w:rFonts w:hint="eastAsia" w:ascii="宋体" w:hAnsi="宋体" w:eastAsia="宋体" w:cs="宋体"/>
          <w:b/>
          <w:bCs w:val="0"/>
          <w:sz w:val="28"/>
          <w:szCs w:val="28"/>
          <w:highlight w:val="none"/>
        </w:rPr>
        <w:t>一、项目概况：</w:t>
      </w:r>
    </w:p>
    <w:p w14:paraId="72C15921">
      <w:pPr>
        <w:spacing w:line="400" w:lineRule="exact"/>
        <w:ind w:firstLine="444" w:firstLineChars="185"/>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本项目</w:t>
      </w:r>
      <w:r>
        <w:rPr>
          <w:rFonts w:hint="eastAsia" w:ascii="宋体" w:hAnsi="宋体" w:eastAsia="宋体" w:cs="宋体"/>
          <w:sz w:val="24"/>
          <w:highlight w:val="none"/>
        </w:rPr>
        <w:t>建设目标：依托物联网、大数据、AI等技术，构建“感知全面、调度智能、运维高效、应急联动、数据互通”的智能化管理体系，实现泵站从“被动运维”到“主动智能管控”的升级。</w:t>
      </w:r>
    </w:p>
    <w:p w14:paraId="06DCA8A7">
      <w:pPr>
        <w:spacing w:line="400" w:lineRule="exact"/>
        <w:ind w:firstLine="444" w:firstLineChars="185"/>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建设规模：涵盖26处泵站，涉及现地智控设施、数据中心及通讯网络、系统平台等多方面升级改造。</w:t>
      </w:r>
    </w:p>
    <w:p w14:paraId="32BF934F">
      <w:pPr>
        <w:spacing w:line="400" w:lineRule="exact"/>
        <w:ind w:firstLine="444" w:firstLineChars="185"/>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建设内容：现地智控设施升级改造、数据中心及通讯网络升级、新纳入泵站智能化建设、系统平台升级。</w:t>
      </w:r>
      <w:r>
        <w:rPr>
          <w:rFonts w:hint="eastAsia" w:ascii="宋体" w:hAnsi="宋体" w:eastAsia="宋体" w:cs="宋体"/>
          <w:b/>
          <w:bCs/>
          <w:sz w:val="24"/>
          <w:highlight w:val="none"/>
          <w:lang w:val="en-US" w:eastAsia="zh-CN"/>
        </w:rPr>
        <w:t>（具体要求见附件《江阴公路泵站智能化提升项目设计方案》</w:t>
      </w:r>
      <w:r>
        <w:rPr>
          <w:rFonts w:hint="eastAsia" w:ascii="宋体" w:hAnsi="宋体" w:eastAsia="宋体" w:cs="宋体"/>
          <w:b/>
          <w:bCs/>
          <w:color w:val="auto"/>
          <w:sz w:val="24"/>
          <w:highlight w:val="none"/>
          <w:lang w:val="en-US" w:eastAsia="zh-CN"/>
        </w:rPr>
        <w:t>，如设计方案与本招标文件内容不一致的，以本招标文件为准</w:t>
      </w:r>
      <w:r>
        <w:rPr>
          <w:rFonts w:hint="eastAsia" w:ascii="宋体" w:hAnsi="宋体" w:eastAsia="宋体" w:cs="宋体"/>
          <w:b/>
          <w:bCs/>
          <w:sz w:val="24"/>
          <w:highlight w:val="none"/>
          <w:lang w:val="en-US" w:eastAsia="zh-CN"/>
        </w:rPr>
        <w:t>）</w:t>
      </w:r>
    </w:p>
    <w:p w14:paraId="625A4E3C">
      <w:pPr>
        <w:spacing w:line="400" w:lineRule="exact"/>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本项目最高限价</w:t>
      </w:r>
      <w:r>
        <w:rPr>
          <w:rFonts w:hint="eastAsia" w:ascii="宋体" w:hAnsi="宋体" w:eastAsia="宋体" w:cs="宋体"/>
          <w:b/>
          <w:sz w:val="24"/>
          <w:highlight w:val="none"/>
          <w:lang w:val="en-US" w:eastAsia="zh-CN"/>
        </w:rPr>
        <w:t>140</w:t>
      </w:r>
      <w:r>
        <w:rPr>
          <w:rFonts w:hint="eastAsia" w:ascii="宋体" w:hAnsi="宋体" w:eastAsia="宋体" w:cs="宋体"/>
          <w:b/>
          <w:sz w:val="24"/>
          <w:highlight w:val="none"/>
        </w:rPr>
        <w:t>万元</w:t>
      </w:r>
    </w:p>
    <w:p w14:paraId="48345DA9">
      <w:pPr>
        <w:spacing w:line="400" w:lineRule="exact"/>
        <w:ind w:firstLine="482" w:firstLineChars="200"/>
        <w:jc w:val="left"/>
        <w:rPr>
          <w:rFonts w:hint="default" w:ascii="宋体" w:hAnsi="宋体" w:eastAsia="宋体" w:cs="宋体"/>
          <w:b/>
          <w:sz w:val="24"/>
          <w:highlight w:val="none"/>
          <w:lang w:val="en-US"/>
        </w:rPr>
      </w:pPr>
      <w:r>
        <w:rPr>
          <w:rFonts w:hint="eastAsia" w:ascii="宋体" w:hAnsi="宋体" w:eastAsia="宋体" w:cs="宋体"/>
          <w:b/>
          <w:sz w:val="24"/>
          <w:highlight w:val="none"/>
        </w:rPr>
        <w:t>本项目标的所属行业：</w:t>
      </w:r>
      <w:r>
        <w:rPr>
          <w:rFonts w:hint="eastAsia" w:ascii="宋体" w:hAnsi="宋体" w:cs="宋体"/>
          <w:b/>
          <w:sz w:val="24"/>
          <w:highlight w:val="none"/>
          <w:lang w:val="en-US" w:eastAsia="zh-CN"/>
        </w:rPr>
        <w:t>详见清单</w:t>
      </w:r>
    </w:p>
    <w:p w14:paraId="235FF657">
      <w:pPr>
        <w:spacing w:line="400" w:lineRule="exact"/>
        <w:jc w:val="left"/>
        <w:rPr>
          <w:rFonts w:hint="eastAsia" w:ascii="宋体" w:hAnsi="宋体" w:eastAsia="宋体" w:cs="宋体"/>
          <w:sz w:val="24"/>
          <w:highlight w:val="none"/>
        </w:rPr>
      </w:pPr>
    </w:p>
    <w:p w14:paraId="6FAD17B0">
      <w:pPr>
        <w:numPr>
          <w:ilvl w:val="0"/>
          <w:numId w:val="2"/>
        </w:numPr>
        <w:spacing w:line="400" w:lineRule="exact"/>
        <w:outlineLvl w:val="0"/>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分项清单、详细技术参数及功能要求：</w:t>
      </w:r>
    </w:p>
    <w:p w14:paraId="009026F8">
      <w:pPr>
        <w:spacing w:line="276" w:lineRule="auto"/>
        <w:outlineLvl w:val="1"/>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2.1硬件清单：</w:t>
      </w:r>
    </w:p>
    <w:tbl>
      <w:tblPr>
        <w:tblStyle w:val="3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5"/>
        <w:gridCol w:w="2074"/>
        <w:gridCol w:w="3535"/>
        <w:gridCol w:w="639"/>
        <w:gridCol w:w="723"/>
        <w:gridCol w:w="1325"/>
      </w:tblGrid>
      <w:tr w14:paraId="53669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884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EEB785">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现地智控设施升级改造</w:t>
            </w:r>
          </w:p>
        </w:tc>
      </w:tr>
      <w:tr w14:paraId="3D009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3A556">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C97E2">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名称</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6F57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产品技术参数要求</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ADAA">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单位</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6BE02">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数量</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659D">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highlight w:val="none"/>
                <w:u w:val="none"/>
                <w:lang w:val="en-US" w:eastAsia="zh-CN" w:bidi="ar"/>
              </w:rPr>
            </w:pPr>
            <w:r>
              <w:rPr>
                <w:rFonts w:hint="eastAsia" w:ascii="宋体" w:hAnsi="宋体" w:cs="宋体"/>
                <w:b/>
                <w:bCs/>
                <w:i w:val="0"/>
                <w:iCs w:val="0"/>
                <w:color w:val="000000"/>
                <w:kern w:val="0"/>
                <w:sz w:val="20"/>
                <w:szCs w:val="20"/>
                <w:highlight w:val="none"/>
                <w:u w:val="none"/>
                <w:lang w:val="en-US" w:eastAsia="zh-CN" w:bidi="ar"/>
              </w:rPr>
              <w:t>所属行业</w:t>
            </w:r>
          </w:p>
        </w:tc>
      </w:tr>
      <w:tr w14:paraId="5FFA6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6F7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B57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PLC可编程采集控制器</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F3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根据水位进行控制水泵的启动与停止，监测泵站设备的运行工况，包含：电流、电压及能耗，泵机运行状态、故障情况，水位数据及相关设备的通讯情况。DI=24，DO=16，AI=6，AO=8，3路RS485,以太网通信接口1xRJ45；</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4D8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E8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9924">
            <w:pPr>
              <w:keepNext w:val="0"/>
              <w:keepLines w:val="0"/>
              <w:widowControl/>
              <w:suppressLineNumbers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cs="宋体"/>
                <w:i w:val="0"/>
                <w:iCs w:val="0"/>
                <w:color w:val="000000"/>
                <w:kern w:val="0"/>
                <w:sz w:val="18"/>
                <w:szCs w:val="18"/>
                <w:highlight w:val="none"/>
                <w:u w:val="none"/>
                <w:lang w:val="en-US" w:eastAsia="zh-CN" w:bidi="ar"/>
              </w:rPr>
              <w:t>工业</w:t>
            </w:r>
          </w:p>
        </w:tc>
      </w:tr>
      <w:tr w14:paraId="55539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DD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533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触摸屏</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67D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7寸,(WxH,象素):800x480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颜色65536,亮度250cd/m²,背光寿命(25'C)：最大20,000小时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触屏类型：高灵敏度4线电阻式触摸屏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项目内存：8MBFlash</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串口通信/1xRS422/485，带隔离串口，最大通信速率187.5Kbits/s,1xRJ45，最大通讯速率200Mbits/s,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USB2.0host,支持U盘、鼠标、键盘、Hub;</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66E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FC8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2F80D">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cs="宋体"/>
                <w:i w:val="0"/>
                <w:iCs w:val="0"/>
                <w:color w:val="000000"/>
                <w:kern w:val="0"/>
                <w:sz w:val="18"/>
                <w:szCs w:val="18"/>
                <w:highlight w:val="none"/>
                <w:u w:val="none"/>
                <w:lang w:val="en-US" w:eastAsia="zh-CN" w:bidi="ar"/>
              </w:rPr>
              <w:t>工业</w:t>
            </w:r>
          </w:p>
        </w:tc>
      </w:tr>
      <w:tr w14:paraId="57460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5C9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D0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动力柜电气火灾告警监测</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4F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电缆设备柜温度监测、电流过载监测、声光告警提示；满足接入智慧泵站监管平台需求；</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FD1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1B9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41D7">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cs="宋体"/>
                <w:i w:val="0"/>
                <w:iCs w:val="0"/>
                <w:color w:val="000000"/>
                <w:kern w:val="0"/>
                <w:sz w:val="18"/>
                <w:szCs w:val="18"/>
                <w:highlight w:val="none"/>
                <w:u w:val="none"/>
                <w:lang w:val="en-US" w:eastAsia="zh-CN" w:bidi="ar"/>
              </w:rPr>
              <w:t>工业</w:t>
            </w:r>
          </w:p>
        </w:tc>
      </w:tr>
      <w:tr w14:paraId="23FC1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A4D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AE4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辅材</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25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配套辅材，柜内跳线，接线端子，套码管、标签标志等</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25F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16B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9EE2">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cs="宋体"/>
                <w:i w:val="0"/>
                <w:iCs w:val="0"/>
                <w:color w:val="000000"/>
                <w:kern w:val="0"/>
                <w:sz w:val="18"/>
                <w:szCs w:val="18"/>
                <w:highlight w:val="none"/>
                <w:u w:val="none"/>
                <w:lang w:val="en-US" w:eastAsia="zh-CN" w:bidi="ar"/>
              </w:rPr>
              <w:t>工业</w:t>
            </w:r>
          </w:p>
        </w:tc>
      </w:tr>
      <w:tr w14:paraId="63032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C16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B1B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PSA组态软件配置</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AAC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根据泵站现地设施数量搭建可视化人机交互界面，包含设备运行监测数据、告警数据、参数设定配置等；</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E96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BA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96580">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软件和信息技术服务业</w:t>
            </w:r>
          </w:p>
        </w:tc>
      </w:tr>
      <w:tr w14:paraId="242F7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1D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F0D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数据读写操作配置</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3E1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实现前端基础数据读写操作处理</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387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99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C71D1">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软件和信息技术服务业</w:t>
            </w:r>
          </w:p>
        </w:tc>
      </w:tr>
      <w:tr w14:paraId="7528C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9B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595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系统联调及数据接入</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F32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单机设备安装调试及系统联调，实现与监管平台数据接入集成</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4E7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AE2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7429">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软件和信息技术服务业</w:t>
            </w:r>
          </w:p>
        </w:tc>
      </w:tr>
      <w:tr w14:paraId="537CF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884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3ACF43F">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数据中心及通讯网络升级</w:t>
            </w:r>
          </w:p>
        </w:tc>
      </w:tr>
      <w:tr w14:paraId="04399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99F0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F2140">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名称</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0CFF1">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功能描述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219A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单位</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C2C5">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数量</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E069">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highlight w:val="none"/>
                <w:u w:val="none"/>
                <w:lang w:val="en-US" w:eastAsia="zh-CN" w:bidi="ar"/>
              </w:rPr>
            </w:pPr>
            <w:r>
              <w:rPr>
                <w:rFonts w:hint="eastAsia" w:ascii="宋体" w:hAnsi="宋体" w:cs="宋体"/>
                <w:b/>
                <w:bCs/>
                <w:i w:val="0"/>
                <w:iCs w:val="0"/>
                <w:color w:val="000000"/>
                <w:kern w:val="0"/>
                <w:sz w:val="20"/>
                <w:szCs w:val="20"/>
                <w:highlight w:val="none"/>
                <w:u w:val="none"/>
                <w:lang w:val="en-US" w:eastAsia="zh-CN" w:bidi="ar"/>
              </w:rPr>
              <w:t>所属行业</w:t>
            </w:r>
          </w:p>
        </w:tc>
      </w:tr>
      <w:tr w14:paraId="67DF9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889C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一</w:t>
            </w:r>
          </w:p>
        </w:tc>
        <w:tc>
          <w:tcPr>
            <w:tcW w:w="69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26521A8">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数据中心升级</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86C89">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highlight w:val="none"/>
                <w:u w:val="none"/>
                <w:lang w:val="en-US" w:eastAsia="zh-CN" w:bidi="ar"/>
              </w:rPr>
            </w:pPr>
          </w:p>
        </w:tc>
      </w:tr>
      <w:tr w14:paraId="31BD6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2F2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FB6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视频管理平台</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84526">
            <w:pPr>
              <w:keepNext w:val="0"/>
              <w:keepLines w:val="0"/>
              <w:widowControl/>
              <w:suppressLineNumbers w:val="0"/>
              <w:jc w:val="left"/>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2U双路标准机架式服务器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CPU：核数≥10核，主频≥2.4GHz</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内存：配置64GDDR4，16根内存插槽，最大支持扩展至2TB内存</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硬盘：配置4块600G10KSAS硬盘；</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阵列卡：配置SAS+HBA卡，支持RAID0/1/10;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PCIE扩展：支持6个PCIE扩展插槽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网口：板载2个千兆电口，配置2个万兆光口。支持选配10GbE、25GbESFP+等多种网络接口</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其他接口：1个RJ45管理接口，后置2个USB3.0接口，前置2个USB2.0接口，1个VGA接口</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电源：标配550W（1+1）高效铂金CRPS冗余电源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满足不少于</w:t>
            </w:r>
            <w:r>
              <w:rPr>
                <w:rFonts w:hint="eastAsia" w:ascii="宋体" w:hAnsi="宋体" w:cs="宋体"/>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00路视频接入授权</w:t>
            </w:r>
            <w:r>
              <w:rPr>
                <w:rFonts w:hint="eastAsia" w:ascii="宋体" w:hAnsi="宋体" w:cs="宋体"/>
                <w:i w:val="0"/>
                <w:iCs w:val="0"/>
                <w:color w:val="000000"/>
                <w:kern w:val="0"/>
                <w:sz w:val="20"/>
                <w:szCs w:val="20"/>
                <w:highlight w:val="none"/>
                <w:u w:val="none"/>
                <w:lang w:val="en-US" w:eastAsia="zh-CN" w:bidi="ar"/>
              </w:rPr>
              <w:t>、巡检授权、级联授权</w:t>
            </w:r>
            <w:r>
              <w:rPr>
                <w:rFonts w:hint="eastAsia" w:ascii="宋体" w:hAnsi="宋体" w:eastAsia="宋体" w:cs="宋体"/>
                <w:i w:val="0"/>
                <w:iCs w:val="0"/>
                <w:color w:val="000000"/>
                <w:kern w:val="0"/>
                <w:sz w:val="20"/>
                <w:szCs w:val="20"/>
                <w:highlight w:val="none"/>
                <w:u w:val="none"/>
                <w:lang w:val="en-US" w:eastAsia="zh-CN" w:bidi="ar"/>
              </w:rPr>
              <w:t>要求</w:t>
            </w:r>
            <w:r>
              <w:rPr>
                <w:rFonts w:hint="eastAsia" w:ascii="宋体" w:hAnsi="宋体" w:cs="宋体"/>
                <w:i w:val="0"/>
                <w:iCs w:val="0"/>
                <w:color w:val="000000"/>
                <w:kern w:val="0"/>
                <w:sz w:val="20"/>
                <w:szCs w:val="20"/>
                <w:highlight w:val="none"/>
                <w:u w:val="none"/>
                <w:lang w:val="en-US" w:eastAsia="zh-CN" w:bidi="ar"/>
              </w:rPr>
              <w:t>。</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DF2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4C98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B8D6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56670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E93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F9D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防火墙</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025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b/>
                <w:bCs/>
                <w:i w:val="0"/>
                <w:iCs w:val="0"/>
                <w:color w:val="000000"/>
                <w:kern w:val="0"/>
                <w:sz w:val="20"/>
                <w:szCs w:val="20"/>
                <w:highlight w:val="none"/>
                <w:u w:val="none"/>
                <w:lang w:val="en-US" w:eastAsia="zh-CN" w:bidi="ar"/>
              </w:rPr>
              <w:t>详见主要技术参数3.1</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B79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66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9E70">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30ECF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7783">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3</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CF5A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24口安全交换机</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ED75">
            <w:pPr>
              <w:keepNext w:val="0"/>
              <w:keepLines w:val="0"/>
              <w:widowControl/>
              <w:suppressLineNumbers w:val="0"/>
              <w:jc w:val="left"/>
              <w:textAlignment w:val="center"/>
              <w:rPr>
                <w:rFonts w:hint="default"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详见主要技术参数3.</w:t>
            </w:r>
            <w:r>
              <w:rPr>
                <w:rFonts w:hint="eastAsia" w:ascii="宋体" w:hAnsi="宋体" w:cs="宋体"/>
                <w:b/>
                <w:bCs/>
                <w:i w:val="0"/>
                <w:iCs w:val="0"/>
                <w:color w:val="000000"/>
                <w:kern w:val="0"/>
                <w:sz w:val="20"/>
                <w:szCs w:val="20"/>
                <w:highlight w:val="none"/>
                <w:u w:val="none"/>
                <w:lang w:val="en-US" w:eastAsia="zh-CN"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1C04C">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台</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5AAC">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038AC">
            <w:pPr>
              <w:keepNext w:val="0"/>
              <w:keepLines w:val="0"/>
              <w:widowControl/>
              <w:suppressLineNumbers w:val="0"/>
              <w:jc w:val="center"/>
              <w:textAlignment w:val="center"/>
              <w:rPr>
                <w:rFonts w:hint="default"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382E5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9AC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4</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D0E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系统集成</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4855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（1）完成视频管理平台对当前200多路监控点接入集成；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（2）按《江苏省交通视频监控系统联网技术要求》苏交技[2013]25号对视频资源及联网设备编码与管理；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（3）按《江苏省交通视频监控系统联网技术要求》苏交技[2013]25号要求完成与无锡市级视频监控联网平台对接；</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（4）网络安全及路由策略配置优化，通过SDK二次开发实现智慧泵站监管平台PC端及移动端接入集成；</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6F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9B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55F9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33D9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93586">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43D7F">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通讯网络升级完善</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A3028">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5年费用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570E">
            <w:pPr>
              <w:jc w:val="center"/>
              <w:rPr>
                <w:rFonts w:hint="eastAsia" w:ascii="宋体" w:hAnsi="宋体" w:eastAsia="宋体" w:cs="宋体"/>
                <w:b/>
                <w:bCs/>
                <w:i w:val="0"/>
                <w:iCs w:val="0"/>
                <w:color w:val="000000"/>
                <w:sz w:val="20"/>
                <w:szCs w:val="20"/>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B545F">
            <w:pPr>
              <w:jc w:val="center"/>
              <w:rPr>
                <w:rFonts w:hint="eastAsia" w:ascii="宋体" w:hAnsi="宋体" w:eastAsia="宋体" w:cs="宋体"/>
                <w:b/>
                <w:bCs/>
                <w:i w:val="0"/>
                <w:iCs w:val="0"/>
                <w:color w:val="000000"/>
                <w:sz w:val="20"/>
                <w:szCs w:val="20"/>
                <w:highlight w:val="none"/>
                <w:u w:val="none"/>
              </w:rPr>
            </w:pP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01565">
            <w:pPr>
              <w:jc w:val="center"/>
              <w:rPr>
                <w:rFonts w:hint="eastAsia" w:ascii="宋体" w:hAnsi="宋体" w:eastAsia="宋体" w:cs="宋体"/>
                <w:b/>
                <w:bCs/>
                <w:i w:val="0"/>
                <w:iCs w:val="0"/>
                <w:color w:val="000000"/>
                <w:sz w:val="20"/>
                <w:szCs w:val="20"/>
                <w:highlight w:val="none"/>
                <w:u w:val="none"/>
              </w:rPr>
            </w:pPr>
          </w:p>
        </w:tc>
      </w:tr>
      <w:tr w14:paraId="601B9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DD74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960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通讯专线</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3269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50M五年费用</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901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9B5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FAF2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信息传输业</w:t>
            </w:r>
          </w:p>
        </w:tc>
      </w:tr>
      <w:tr w14:paraId="05BC1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8F95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D52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汇聚专线</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0869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200M五年费用</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A9E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FAE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F8AE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信息传输业</w:t>
            </w:r>
          </w:p>
        </w:tc>
      </w:tr>
      <w:tr w14:paraId="21389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6044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6E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互联网接入</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FF68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100M互联网（固定IP）五年费用</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7D1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1F7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1787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信息传输业</w:t>
            </w:r>
          </w:p>
        </w:tc>
      </w:tr>
      <w:tr w14:paraId="4B397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884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B828B15">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泵站智能化建设</w:t>
            </w:r>
            <w:r>
              <w:rPr>
                <w:rFonts w:hint="eastAsia" w:ascii="宋体" w:hAnsi="宋体" w:eastAsia="宋体" w:cs="宋体"/>
                <w:b/>
                <w:bCs/>
                <w:i w:val="0"/>
                <w:iCs w:val="0"/>
                <w:color w:val="000000"/>
                <w:kern w:val="0"/>
                <w:sz w:val="24"/>
                <w:szCs w:val="24"/>
                <w:highlight w:val="none"/>
                <w:u w:val="none"/>
                <w:lang w:val="en-US" w:eastAsia="zh-CN" w:bidi="ar"/>
              </w:rPr>
              <w:br w:type="textWrapping"/>
            </w:r>
            <w:r>
              <w:rPr>
                <w:rStyle w:val="124"/>
                <w:rFonts w:hint="eastAsia" w:ascii="宋体" w:hAnsi="宋体" w:eastAsia="宋体" w:cs="宋体"/>
                <w:sz w:val="24"/>
                <w:szCs w:val="24"/>
                <w:highlight w:val="none"/>
                <w:lang w:val="en-US" w:eastAsia="zh-CN" w:bidi="ar"/>
              </w:rPr>
              <w:t>（纺织市场及澄张路泵站</w:t>
            </w:r>
            <w:r>
              <w:rPr>
                <w:rStyle w:val="124"/>
                <w:rFonts w:hint="eastAsia" w:ascii="宋体" w:hAnsi="宋体" w:eastAsia="宋体" w:cs="宋体"/>
                <w:highlight w:val="none"/>
                <w:lang w:val="en-US" w:eastAsia="zh-CN" w:bidi="ar"/>
              </w:rPr>
              <w:t>）</w:t>
            </w:r>
          </w:p>
        </w:tc>
      </w:tr>
      <w:tr w14:paraId="73A2B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B9BEC">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1B22">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名称</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A71C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主要技术参数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55A6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单位</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286AA">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数量</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A7BAE">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highlight w:val="none"/>
                <w:u w:val="none"/>
                <w:lang w:val="en-US" w:eastAsia="zh-CN" w:bidi="ar"/>
              </w:rPr>
            </w:pPr>
            <w:r>
              <w:rPr>
                <w:rFonts w:hint="eastAsia" w:ascii="宋体" w:hAnsi="宋体" w:cs="宋体"/>
                <w:b/>
                <w:bCs/>
                <w:i w:val="0"/>
                <w:iCs w:val="0"/>
                <w:color w:val="000000"/>
                <w:kern w:val="0"/>
                <w:sz w:val="20"/>
                <w:szCs w:val="20"/>
                <w:highlight w:val="none"/>
                <w:u w:val="none"/>
                <w:lang w:val="en-US" w:eastAsia="zh-CN" w:bidi="ar"/>
              </w:rPr>
              <w:t>所属行业</w:t>
            </w:r>
          </w:p>
        </w:tc>
      </w:tr>
      <w:tr w14:paraId="3DFBC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03C0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一</w:t>
            </w:r>
          </w:p>
        </w:tc>
        <w:tc>
          <w:tcPr>
            <w:tcW w:w="69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4454B3">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泵站智控</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1A289">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highlight w:val="none"/>
                <w:u w:val="none"/>
                <w:lang w:val="en-US" w:eastAsia="zh-CN" w:bidi="ar"/>
              </w:rPr>
            </w:pPr>
          </w:p>
        </w:tc>
      </w:tr>
      <w:tr w14:paraId="4B2CA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jc w:val="center"/>
        </w:trPr>
        <w:tc>
          <w:tcPr>
            <w:tcW w:w="5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40BA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20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2DE1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成套泵站智控柜</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FD31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PLC可编程采集控制器：根据水位进行控制水泵的启动与停止，监测泵站设备的运行工况，包含：电流、电压及能耗，泵机运行状态、故障情况，水位数据及相关设备的通讯情况。DI=24，DO=16，AI=6，AO=8，3路RS485,以太网通信接口1xRJ45；</w:t>
            </w:r>
          </w:p>
        </w:tc>
        <w:tc>
          <w:tcPr>
            <w:tcW w:w="63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886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9861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vMerge w:val="restart"/>
            <w:tcBorders>
              <w:top w:val="single" w:color="000000" w:sz="4" w:space="0"/>
              <w:left w:val="single" w:color="000000" w:sz="4" w:space="0"/>
              <w:right w:val="single" w:color="000000" w:sz="4" w:space="0"/>
            </w:tcBorders>
            <w:shd w:val="clear" w:color="auto" w:fill="auto"/>
            <w:vAlign w:val="center"/>
          </w:tcPr>
          <w:p w14:paraId="2099314E">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27545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B3549">
            <w:pPr>
              <w:jc w:val="center"/>
              <w:rPr>
                <w:rFonts w:hint="eastAsia" w:ascii="宋体" w:hAnsi="宋体" w:eastAsia="宋体" w:cs="宋体"/>
                <w:i w:val="0"/>
                <w:iCs w:val="0"/>
                <w:color w:val="000000"/>
                <w:sz w:val="20"/>
                <w:szCs w:val="20"/>
                <w:highlight w:val="none"/>
                <w:u w:val="none"/>
              </w:rPr>
            </w:pPr>
          </w:p>
        </w:tc>
        <w:tc>
          <w:tcPr>
            <w:tcW w:w="2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3B48D">
            <w:pPr>
              <w:jc w:val="center"/>
              <w:rPr>
                <w:rFonts w:hint="eastAsia" w:ascii="宋体" w:hAnsi="宋体" w:eastAsia="宋体" w:cs="宋体"/>
                <w:i w:val="0"/>
                <w:iCs w:val="0"/>
                <w:color w:val="000000"/>
                <w:sz w:val="20"/>
                <w:szCs w:val="20"/>
                <w:highlight w:val="none"/>
                <w:u w:val="none"/>
              </w:rPr>
            </w:pP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5688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电源模块*2：工业级24V/100W</w:t>
            </w: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090CE">
            <w:pPr>
              <w:jc w:val="center"/>
              <w:rPr>
                <w:rFonts w:hint="eastAsia" w:ascii="宋体" w:hAnsi="宋体" w:eastAsia="宋体" w:cs="宋体"/>
                <w:i w:val="0"/>
                <w:iCs w:val="0"/>
                <w:color w:val="000000"/>
                <w:sz w:val="20"/>
                <w:szCs w:val="20"/>
                <w:highlight w:val="none"/>
                <w:u w:val="none"/>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B84F7">
            <w:pPr>
              <w:jc w:val="center"/>
              <w:rPr>
                <w:rFonts w:hint="eastAsia" w:ascii="宋体" w:hAnsi="宋体" w:eastAsia="宋体" w:cs="宋体"/>
                <w:i w:val="0"/>
                <w:iCs w:val="0"/>
                <w:color w:val="000000"/>
                <w:sz w:val="20"/>
                <w:szCs w:val="20"/>
                <w:highlight w:val="none"/>
                <w:u w:val="none"/>
              </w:rPr>
            </w:pPr>
          </w:p>
        </w:tc>
        <w:tc>
          <w:tcPr>
            <w:tcW w:w="1325" w:type="dxa"/>
            <w:vMerge w:val="continue"/>
            <w:tcBorders>
              <w:left w:val="single" w:color="000000" w:sz="4" w:space="0"/>
              <w:right w:val="single" w:color="000000" w:sz="4" w:space="0"/>
            </w:tcBorders>
            <w:shd w:val="clear" w:color="auto" w:fill="auto"/>
            <w:vAlign w:val="center"/>
          </w:tcPr>
          <w:p w14:paraId="26E2B905">
            <w:pPr>
              <w:jc w:val="center"/>
              <w:rPr>
                <w:rFonts w:hint="eastAsia" w:ascii="宋体" w:hAnsi="宋体" w:eastAsia="宋体" w:cs="宋体"/>
                <w:i w:val="0"/>
                <w:iCs w:val="0"/>
                <w:color w:val="000000"/>
                <w:sz w:val="20"/>
                <w:szCs w:val="20"/>
                <w:highlight w:val="none"/>
                <w:u w:val="none"/>
              </w:rPr>
            </w:pPr>
          </w:p>
        </w:tc>
      </w:tr>
      <w:tr w14:paraId="1FA57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6918F">
            <w:pPr>
              <w:jc w:val="center"/>
              <w:rPr>
                <w:rFonts w:hint="eastAsia" w:ascii="宋体" w:hAnsi="宋体" w:eastAsia="宋体" w:cs="宋体"/>
                <w:i w:val="0"/>
                <w:iCs w:val="0"/>
                <w:color w:val="000000"/>
                <w:sz w:val="20"/>
                <w:szCs w:val="20"/>
                <w:highlight w:val="none"/>
                <w:u w:val="none"/>
              </w:rPr>
            </w:pPr>
          </w:p>
        </w:tc>
        <w:tc>
          <w:tcPr>
            <w:tcW w:w="2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F11E9">
            <w:pPr>
              <w:jc w:val="center"/>
              <w:rPr>
                <w:rFonts w:hint="eastAsia" w:ascii="宋体" w:hAnsi="宋体" w:eastAsia="宋体" w:cs="宋体"/>
                <w:i w:val="0"/>
                <w:iCs w:val="0"/>
                <w:color w:val="000000"/>
                <w:sz w:val="20"/>
                <w:szCs w:val="20"/>
                <w:highlight w:val="none"/>
                <w:u w:val="none"/>
              </w:rPr>
            </w:pP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E22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通信模块：MODBUS协议</w:t>
            </w: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E0FF6">
            <w:pPr>
              <w:jc w:val="center"/>
              <w:rPr>
                <w:rFonts w:hint="eastAsia" w:ascii="宋体" w:hAnsi="宋体" w:eastAsia="宋体" w:cs="宋体"/>
                <w:i w:val="0"/>
                <w:iCs w:val="0"/>
                <w:color w:val="000000"/>
                <w:sz w:val="20"/>
                <w:szCs w:val="20"/>
                <w:highlight w:val="none"/>
                <w:u w:val="none"/>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73676">
            <w:pPr>
              <w:jc w:val="center"/>
              <w:rPr>
                <w:rFonts w:hint="eastAsia" w:ascii="宋体" w:hAnsi="宋体" w:eastAsia="宋体" w:cs="宋体"/>
                <w:i w:val="0"/>
                <w:iCs w:val="0"/>
                <w:color w:val="000000"/>
                <w:sz w:val="20"/>
                <w:szCs w:val="20"/>
                <w:highlight w:val="none"/>
                <w:u w:val="none"/>
              </w:rPr>
            </w:pPr>
          </w:p>
        </w:tc>
        <w:tc>
          <w:tcPr>
            <w:tcW w:w="1325" w:type="dxa"/>
            <w:vMerge w:val="continue"/>
            <w:tcBorders>
              <w:left w:val="single" w:color="000000" w:sz="4" w:space="0"/>
              <w:right w:val="single" w:color="000000" w:sz="4" w:space="0"/>
            </w:tcBorders>
            <w:shd w:val="clear" w:color="auto" w:fill="auto"/>
            <w:vAlign w:val="center"/>
          </w:tcPr>
          <w:p w14:paraId="0E3F5FCF">
            <w:pPr>
              <w:jc w:val="center"/>
              <w:rPr>
                <w:rFonts w:hint="eastAsia" w:ascii="宋体" w:hAnsi="宋体" w:eastAsia="宋体" w:cs="宋体"/>
                <w:i w:val="0"/>
                <w:iCs w:val="0"/>
                <w:color w:val="000000"/>
                <w:sz w:val="20"/>
                <w:szCs w:val="20"/>
                <w:highlight w:val="none"/>
                <w:u w:val="none"/>
              </w:rPr>
            </w:pPr>
          </w:p>
        </w:tc>
      </w:tr>
      <w:tr w14:paraId="76D65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6" w:hRule="atLeast"/>
          <w:jc w:val="center"/>
        </w:trPr>
        <w:tc>
          <w:tcPr>
            <w:tcW w:w="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A9867">
            <w:pPr>
              <w:jc w:val="center"/>
              <w:rPr>
                <w:rFonts w:hint="eastAsia" w:ascii="宋体" w:hAnsi="宋体" w:eastAsia="宋体" w:cs="宋体"/>
                <w:i w:val="0"/>
                <w:iCs w:val="0"/>
                <w:color w:val="000000"/>
                <w:sz w:val="20"/>
                <w:szCs w:val="20"/>
                <w:highlight w:val="none"/>
                <w:u w:val="none"/>
              </w:rPr>
            </w:pPr>
          </w:p>
        </w:tc>
        <w:tc>
          <w:tcPr>
            <w:tcW w:w="2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05508">
            <w:pPr>
              <w:jc w:val="center"/>
              <w:rPr>
                <w:rFonts w:hint="eastAsia" w:ascii="宋体" w:hAnsi="宋体" w:eastAsia="宋体" w:cs="宋体"/>
                <w:i w:val="0"/>
                <w:iCs w:val="0"/>
                <w:color w:val="000000"/>
                <w:sz w:val="20"/>
                <w:szCs w:val="20"/>
                <w:highlight w:val="none"/>
                <w:u w:val="none"/>
              </w:rPr>
            </w:pP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13F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触摸屏：7寸,(WxH,象素):800x480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颜色65536,亮度250cd/m²,背光寿命(25'C)：最大20,000小时</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触屏类型：高灵敏度4线电阻式触摸屏</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项目内存：8MBFlash</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串口通信/1xRS422/485，带隔离串口，最大通信速率187.5Kbits/s,1xRJ45，最大通讯速率200Mbits/s,</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USB2.0host,支持U盘、鼠标、键盘、Hub;</w:t>
            </w: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91F18">
            <w:pPr>
              <w:jc w:val="center"/>
              <w:rPr>
                <w:rFonts w:hint="eastAsia" w:ascii="宋体" w:hAnsi="宋体" w:eastAsia="宋体" w:cs="宋体"/>
                <w:i w:val="0"/>
                <w:iCs w:val="0"/>
                <w:color w:val="000000"/>
                <w:sz w:val="20"/>
                <w:szCs w:val="20"/>
                <w:highlight w:val="none"/>
                <w:u w:val="none"/>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26678">
            <w:pPr>
              <w:jc w:val="center"/>
              <w:rPr>
                <w:rFonts w:hint="eastAsia" w:ascii="宋体" w:hAnsi="宋体" w:eastAsia="宋体" w:cs="宋体"/>
                <w:i w:val="0"/>
                <w:iCs w:val="0"/>
                <w:color w:val="000000"/>
                <w:sz w:val="20"/>
                <w:szCs w:val="20"/>
                <w:highlight w:val="none"/>
                <w:u w:val="none"/>
              </w:rPr>
            </w:pPr>
          </w:p>
        </w:tc>
        <w:tc>
          <w:tcPr>
            <w:tcW w:w="1325" w:type="dxa"/>
            <w:vMerge w:val="continue"/>
            <w:tcBorders>
              <w:left w:val="single" w:color="000000" w:sz="4" w:space="0"/>
              <w:right w:val="single" w:color="000000" w:sz="4" w:space="0"/>
            </w:tcBorders>
            <w:shd w:val="clear" w:color="auto" w:fill="auto"/>
            <w:vAlign w:val="center"/>
          </w:tcPr>
          <w:p w14:paraId="370206EB">
            <w:pPr>
              <w:jc w:val="center"/>
              <w:rPr>
                <w:rFonts w:hint="eastAsia" w:ascii="宋体" w:hAnsi="宋体" w:eastAsia="宋体" w:cs="宋体"/>
                <w:i w:val="0"/>
                <w:iCs w:val="0"/>
                <w:color w:val="000000"/>
                <w:sz w:val="20"/>
                <w:szCs w:val="20"/>
                <w:highlight w:val="none"/>
                <w:u w:val="none"/>
              </w:rPr>
            </w:pPr>
          </w:p>
        </w:tc>
      </w:tr>
      <w:tr w14:paraId="43650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1C199">
            <w:pPr>
              <w:jc w:val="center"/>
              <w:rPr>
                <w:rFonts w:hint="eastAsia" w:ascii="宋体" w:hAnsi="宋体" w:eastAsia="宋体" w:cs="宋体"/>
                <w:i w:val="0"/>
                <w:iCs w:val="0"/>
                <w:color w:val="000000"/>
                <w:sz w:val="20"/>
                <w:szCs w:val="20"/>
                <w:highlight w:val="none"/>
                <w:u w:val="none"/>
              </w:rPr>
            </w:pPr>
          </w:p>
        </w:tc>
        <w:tc>
          <w:tcPr>
            <w:tcW w:w="2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BE8CD">
            <w:pPr>
              <w:jc w:val="center"/>
              <w:rPr>
                <w:rFonts w:hint="eastAsia" w:ascii="宋体" w:hAnsi="宋体" w:eastAsia="宋体" w:cs="宋体"/>
                <w:i w:val="0"/>
                <w:iCs w:val="0"/>
                <w:color w:val="000000"/>
                <w:sz w:val="20"/>
                <w:szCs w:val="20"/>
                <w:highlight w:val="none"/>
                <w:u w:val="none"/>
              </w:rPr>
            </w:pP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E081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电力采集仪：【电压】【电流】【电能】三参数</w:t>
            </w: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0F0E5">
            <w:pPr>
              <w:jc w:val="center"/>
              <w:rPr>
                <w:rFonts w:hint="eastAsia" w:ascii="宋体" w:hAnsi="宋体" w:eastAsia="宋体" w:cs="宋体"/>
                <w:i w:val="0"/>
                <w:iCs w:val="0"/>
                <w:color w:val="000000"/>
                <w:sz w:val="20"/>
                <w:szCs w:val="20"/>
                <w:highlight w:val="none"/>
                <w:u w:val="none"/>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FF4E8">
            <w:pPr>
              <w:jc w:val="center"/>
              <w:rPr>
                <w:rFonts w:hint="eastAsia" w:ascii="宋体" w:hAnsi="宋体" w:eastAsia="宋体" w:cs="宋体"/>
                <w:i w:val="0"/>
                <w:iCs w:val="0"/>
                <w:color w:val="000000"/>
                <w:sz w:val="20"/>
                <w:szCs w:val="20"/>
                <w:highlight w:val="none"/>
                <w:u w:val="none"/>
              </w:rPr>
            </w:pPr>
          </w:p>
        </w:tc>
        <w:tc>
          <w:tcPr>
            <w:tcW w:w="1325" w:type="dxa"/>
            <w:vMerge w:val="continue"/>
            <w:tcBorders>
              <w:left w:val="single" w:color="000000" w:sz="4" w:space="0"/>
              <w:right w:val="single" w:color="000000" w:sz="4" w:space="0"/>
            </w:tcBorders>
            <w:shd w:val="clear" w:color="auto" w:fill="auto"/>
            <w:vAlign w:val="center"/>
          </w:tcPr>
          <w:p w14:paraId="122BF98B">
            <w:pPr>
              <w:jc w:val="center"/>
              <w:rPr>
                <w:rFonts w:hint="eastAsia" w:ascii="宋体" w:hAnsi="宋体" w:eastAsia="宋体" w:cs="宋体"/>
                <w:i w:val="0"/>
                <w:iCs w:val="0"/>
                <w:color w:val="000000"/>
                <w:sz w:val="20"/>
                <w:szCs w:val="20"/>
                <w:highlight w:val="none"/>
                <w:u w:val="none"/>
              </w:rPr>
            </w:pPr>
          </w:p>
        </w:tc>
      </w:tr>
      <w:tr w14:paraId="20A29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C024A">
            <w:pPr>
              <w:jc w:val="center"/>
              <w:rPr>
                <w:rFonts w:hint="eastAsia" w:ascii="宋体" w:hAnsi="宋体" w:eastAsia="宋体" w:cs="宋体"/>
                <w:i w:val="0"/>
                <w:iCs w:val="0"/>
                <w:color w:val="000000"/>
                <w:sz w:val="20"/>
                <w:szCs w:val="20"/>
                <w:highlight w:val="none"/>
                <w:u w:val="none"/>
              </w:rPr>
            </w:pPr>
          </w:p>
        </w:tc>
        <w:tc>
          <w:tcPr>
            <w:tcW w:w="2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F25C0">
            <w:pPr>
              <w:jc w:val="center"/>
              <w:rPr>
                <w:rFonts w:hint="eastAsia" w:ascii="宋体" w:hAnsi="宋体" w:eastAsia="宋体" w:cs="宋体"/>
                <w:i w:val="0"/>
                <w:iCs w:val="0"/>
                <w:color w:val="000000"/>
                <w:sz w:val="20"/>
                <w:szCs w:val="20"/>
                <w:highlight w:val="none"/>
                <w:u w:val="none"/>
              </w:rPr>
            </w:pP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B9A8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电源防雷器：2P220V20KA</w:t>
            </w: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49CDA">
            <w:pPr>
              <w:jc w:val="center"/>
              <w:rPr>
                <w:rFonts w:hint="eastAsia" w:ascii="宋体" w:hAnsi="宋体" w:eastAsia="宋体" w:cs="宋体"/>
                <w:i w:val="0"/>
                <w:iCs w:val="0"/>
                <w:color w:val="000000"/>
                <w:sz w:val="20"/>
                <w:szCs w:val="20"/>
                <w:highlight w:val="none"/>
                <w:u w:val="none"/>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6A77F">
            <w:pPr>
              <w:jc w:val="center"/>
              <w:rPr>
                <w:rFonts w:hint="eastAsia" w:ascii="宋体" w:hAnsi="宋体" w:eastAsia="宋体" w:cs="宋体"/>
                <w:i w:val="0"/>
                <w:iCs w:val="0"/>
                <w:color w:val="000000"/>
                <w:sz w:val="20"/>
                <w:szCs w:val="20"/>
                <w:highlight w:val="none"/>
                <w:u w:val="none"/>
              </w:rPr>
            </w:pPr>
          </w:p>
        </w:tc>
        <w:tc>
          <w:tcPr>
            <w:tcW w:w="1325" w:type="dxa"/>
            <w:vMerge w:val="continue"/>
            <w:tcBorders>
              <w:left w:val="single" w:color="000000" w:sz="4" w:space="0"/>
              <w:right w:val="single" w:color="000000" w:sz="4" w:space="0"/>
            </w:tcBorders>
            <w:shd w:val="clear" w:color="auto" w:fill="auto"/>
            <w:vAlign w:val="center"/>
          </w:tcPr>
          <w:p w14:paraId="76C47FF1">
            <w:pPr>
              <w:jc w:val="center"/>
              <w:rPr>
                <w:rFonts w:hint="eastAsia" w:ascii="宋体" w:hAnsi="宋体" w:eastAsia="宋体" w:cs="宋体"/>
                <w:i w:val="0"/>
                <w:iCs w:val="0"/>
                <w:color w:val="000000"/>
                <w:sz w:val="20"/>
                <w:szCs w:val="20"/>
                <w:highlight w:val="none"/>
                <w:u w:val="none"/>
              </w:rPr>
            </w:pPr>
          </w:p>
        </w:tc>
      </w:tr>
      <w:tr w14:paraId="2744F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CB6C1">
            <w:pPr>
              <w:jc w:val="center"/>
              <w:rPr>
                <w:rFonts w:hint="eastAsia" w:ascii="宋体" w:hAnsi="宋体" w:eastAsia="宋体" w:cs="宋体"/>
                <w:i w:val="0"/>
                <w:iCs w:val="0"/>
                <w:color w:val="000000"/>
                <w:sz w:val="20"/>
                <w:szCs w:val="20"/>
                <w:highlight w:val="none"/>
                <w:u w:val="none"/>
              </w:rPr>
            </w:pPr>
          </w:p>
        </w:tc>
        <w:tc>
          <w:tcPr>
            <w:tcW w:w="2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C935A">
            <w:pPr>
              <w:jc w:val="center"/>
              <w:rPr>
                <w:rFonts w:hint="eastAsia" w:ascii="宋体" w:hAnsi="宋体" w:eastAsia="宋体" w:cs="宋体"/>
                <w:i w:val="0"/>
                <w:iCs w:val="0"/>
                <w:color w:val="000000"/>
                <w:sz w:val="20"/>
                <w:szCs w:val="20"/>
                <w:highlight w:val="none"/>
                <w:u w:val="none"/>
              </w:rPr>
            </w:pP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049E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信号隔离器</w:t>
            </w:r>
            <w:r>
              <w:rPr>
                <w:rStyle w:val="125"/>
                <w:rFonts w:hint="eastAsia" w:ascii="宋体" w:hAnsi="宋体" w:eastAsia="宋体" w:cs="宋体"/>
                <w:sz w:val="20"/>
                <w:szCs w:val="20"/>
                <w:highlight w:val="none"/>
                <w:lang w:val="en-US" w:eastAsia="zh-CN" w:bidi="ar"/>
              </w:rPr>
              <w:t>*3：4-20mA1进2出电流分配器</w:t>
            </w: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C017A">
            <w:pPr>
              <w:jc w:val="center"/>
              <w:rPr>
                <w:rFonts w:hint="eastAsia" w:ascii="宋体" w:hAnsi="宋体" w:eastAsia="宋体" w:cs="宋体"/>
                <w:i w:val="0"/>
                <w:iCs w:val="0"/>
                <w:color w:val="000000"/>
                <w:sz w:val="20"/>
                <w:szCs w:val="20"/>
                <w:highlight w:val="none"/>
                <w:u w:val="none"/>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E1950">
            <w:pPr>
              <w:jc w:val="center"/>
              <w:rPr>
                <w:rFonts w:hint="eastAsia" w:ascii="宋体" w:hAnsi="宋体" w:eastAsia="宋体" w:cs="宋体"/>
                <w:i w:val="0"/>
                <w:iCs w:val="0"/>
                <w:color w:val="000000"/>
                <w:sz w:val="20"/>
                <w:szCs w:val="20"/>
                <w:highlight w:val="none"/>
                <w:u w:val="none"/>
              </w:rPr>
            </w:pPr>
          </w:p>
        </w:tc>
        <w:tc>
          <w:tcPr>
            <w:tcW w:w="1325" w:type="dxa"/>
            <w:vMerge w:val="continue"/>
            <w:tcBorders>
              <w:left w:val="single" w:color="000000" w:sz="4" w:space="0"/>
              <w:right w:val="single" w:color="000000" w:sz="4" w:space="0"/>
            </w:tcBorders>
            <w:shd w:val="clear" w:color="auto" w:fill="auto"/>
            <w:vAlign w:val="center"/>
          </w:tcPr>
          <w:p w14:paraId="68FDC139">
            <w:pPr>
              <w:jc w:val="center"/>
              <w:rPr>
                <w:rFonts w:hint="eastAsia" w:ascii="宋体" w:hAnsi="宋体" w:eastAsia="宋体" w:cs="宋体"/>
                <w:i w:val="0"/>
                <w:iCs w:val="0"/>
                <w:color w:val="000000"/>
                <w:sz w:val="20"/>
                <w:szCs w:val="20"/>
                <w:highlight w:val="none"/>
                <w:u w:val="none"/>
              </w:rPr>
            </w:pPr>
          </w:p>
        </w:tc>
      </w:tr>
      <w:tr w14:paraId="3E7D4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94CF3">
            <w:pPr>
              <w:jc w:val="center"/>
              <w:rPr>
                <w:rFonts w:hint="eastAsia" w:ascii="宋体" w:hAnsi="宋体" w:eastAsia="宋体" w:cs="宋体"/>
                <w:i w:val="0"/>
                <w:iCs w:val="0"/>
                <w:color w:val="000000"/>
                <w:sz w:val="20"/>
                <w:szCs w:val="20"/>
                <w:highlight w:val="none"/>
                <w:u w:val="none"/>
              </w:rPr>
            </w:pPr>
          </w:p>
        </w:tc>
        <w:tc>
          <w:tcPr>
            <w:tcW w:w="2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CB686">
            <w:pPr>
              <w:jc w:val="center"/>
              <w:rPr>
                <w:rFonts w:hint="eastAsia" w:ascii="宋体" w:hAnsi="宋体" w:eastAsia="宋体" w:cs="宋体"/>
                <w:i w:val="0"/>
                <w:iCs w:val="0"/>
                <w:color w:val="000000"/>
                <w:sz w:val="20"/>
                <w:szCs w:val="20"/>
                <w:highlight w:val="none"/>
                <w:u w:val="none"/>
              </w:rPr>
            </w:pP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C1C8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现地设备柜：室外304不锈钢1700*700*400，含供配电开关及插座、配套接线端子、触点基座、触点模块、继电器、转换开关、指示灯、按钮、柜内配线等。</w:t>
            </w: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3DD7C">
            <w:pPr>
              <w:jc w:val="center"/>
              <w:rPr>
                <w:rFonts w:hint="eastAsia" w:ascii="宋体" w:hAnsi="宋体" w:eastAsia="宋体" w:cs="宋体"/>
                <w:i w:val="0"/>
                <w:iCs w:val="0"/>
                <w:color w:val="000000"/>
                <w:sz w:val="20"/>
                <w:szCs w:val="20"/>
                <w:highlight w:val="none"/>
                <w:u w:val="none"/>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9F079">
            <w:pPr>
              <w:jc w:val="center"/>
              <w:rPr>
                <w:rFonts w:hint="eastAsia" w:ascii="宋体" w:hAnsi="宋体" w:eastAsia="宋体" w:cs="宋体"/>
                <w:i w:val="0"/>
                <w:iCs w:val="0"/>
                <w:color w:val="000000"/>
                <w:sz w:val="20"/>
                <w:szCs w:val="20"/>
                <w:highlight w:val="none"/>
                <w:u w:val="none"/>
              </w:rPr>
            </w:pPr>
          </w:p>
        </w:tc>
        <w:tc>
          <w:tcPr>
            <w:tcW w:w="1325" w:type="dxa"/>
            <w:vMerge w:val="continue"/>
            <w:tcBorders>
              <w:left w:val="single" w:color="000000" w:sz="4" w:space="0"/>
              <w:right w:val="single" w:color="000000" w:sz="4" w:space="0"/>
            </w:tcBorders>
            <w:shd w:val="clear" w:color="auto" w:fill="auto"/>
            <w:vAlign w:val="center"/>
          </w:tcPr>
          <w:p w14:paraId="7E57370A">
            <w:pPr>
              <w:jc w:val="center"/>
              <w:rPr>
                <w:rFonts w:hint="eastAsia" w:ascii="宋体" w:hAnsi="宋体" w:eastAsia="宋体" w:cs="宋体"/>
                <w:i w:val="0"/>
                <w:iCs w:val="0"/>
                <w:color w:val="000000"/>
                <w:sz w:val="20"/>
                <w:szCs w:val="20"/>
                <w:highlight w:val="none"/>
                <w:u w:val="none"/>
              </w:rPr>
            </w:pPr>
          </w:p>
        </w:tc>
      </w:tr>
      <w:tr w14:paraId="23B52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95DB1">
            <w:pPr>
              <w:jc w:val="center"/>
              <w:rPr>
                <w:rFonts w:hint="eastAsia" w:ascii="宋体" w:hAnsi="宋体" w:eastAsia="宋体" w:cs="宋体"/>
                <w:i w:val="0"/>
                <w:iCs w:val="0"/>
                <w:color w:val="000000"/>
                <w:sz w:val="20"/>
                <w:szCs w:val="20"/>
                <w:highlight w:val="none"/>
                <w:u w:val="none"/>
              </w:rPr>
            </w:pPr>
          </w:p>
        </w:tc>
        <w:tc>
          <w:tcPr>
            <w:tcW w:w="2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C307B">
            <w:pPr>
              <w:jc w:val="center"/>
              <w:rPr>
                <w:rFonts w:hint="eastAsia" w:ascii="宋体" w:hAnsi="宋体" w:eastAsia="宋体" w:cs="宋体"/>
                <w:i w:val="0"/>
                <w:iCs w:val="0"/>
                <w:color w:val="000000"/>
                <w:sz w:val="20"/>
                <w:szCs w:val="20"/>
                <w:highlight w:val="none"/>
                <w:u w:val="none"/>
              </w:rPr>
            </w:pP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096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温控设施:通过温度传感器及强排风机实现柜内温度控制，确保柜内设备在高温天气稳定运行。</w:t>
            </w:r>
          </w:p>
        </w:tc>
        <w:tc>
          <w:tcPr>
            <w:tcW w:w="63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03430">
            <w:pPr>
              <w:jc w:val="center"/>
              <w:rPr>
                <w:rFonts w:hint="eastAsia" w:ascii="宋体" w:hAnsi="宋体" w:eastAsia="宋体" w:cs="宋体"/>
                <w:i w:val="0"/>
                <w:iCs w:val="0"/>
                <w:color w:val="000000"/>
                <w:sz w:val="20"/>
                <w:szCs w:val="20"/>
                <w:highlight w:val="none"/>
                <w:u w:val="none"/>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66B7E">
            <w:pPr>
              <w:jc w:val="center"/>
              <w:rPr>
                <w:rFonts w:hint="eastAsia" w:ascii="宋体" w:hAnsi="宋体" w:eastAsia="宋体" w:cs="宋体"/>
                <w:i w:val="0"/>
                <w:iCs w:val="0"/>
                <w:color w:val="000000"/>
                <w:sz w:val="20"/>
                <w:szCs w:val="20"/>
                <w:highlight w:val="none"/>
                <w:u w:val="none"/>
              </w:rPr>
            </w:pPr>
          </w:p>
        </w:tc>
        <w:tc>
          <w:tcPr>
            <w:tcW w:w="1325" w:type="dxa"/>
            <w:vMerge w:val="continue"/>
            <w:tcBorders>
              <w:left w:val="single" w:color="000000" w:sz="4" w:space="0"/>
              <w:bottom w:val="single" w:color="000000" w:sz="4" w:space="0"/>
              <w:right w:val="single" w:color="000000" w:sz="4" w:space="0"/>
            </w:tcBorders>
            <w:shd w:val="clear" w:color="auto" w:fill="auto"/>
            <w:vAlign w:val="center"/>
          </w:tcPr>
          <w:p w14:paraId="083557EE">
            <w:pPr>
              <w:jc w:val="center"/>
              <w:rPr>
                <w:rFonts w:hint="eastAsia" w:ascii="宋体" w:hAnsi="宋体" w:eastAsia="宋体" w:cs="宋体"/>
                <w:i w:val="0"/>
                <w:iCs w:val="0"/>
                <w:color w:val="000000"/>
                <w:sz w:val="20"/>
                <w:szCs w:val="20"/>
                <w:highlight w:val="none"/>
                <w:u w:val="none"/>
              </w:rPr>
            </w:pPr>
          </w:p>
        </w:tc>
      </w:tr>
      <w:tr w14:paraId="6C89E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27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33CE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柜体基座/基础</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6B5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根据现场情况定制柜体基座/基础，符合安装及防淹要求。</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AE1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26C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4C8F">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119B0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4C0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B3B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接地装置</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E1A6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低压电气设备安全保护接地</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8E4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BF8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742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3C6A3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592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569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设备柜配套辅材</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BF1B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柜内配线、线槽、设备层板、固定件、标签等</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61E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2D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14F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01AA7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83F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75B9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浮球控制</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BEDF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低水位保护</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90C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2A5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5458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395EA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67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F84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电源线</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CF2A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BVV-3*1.5</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2CE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EAF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D89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5C976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84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DA51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信号线</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067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KVV10*1.0</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ECA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6D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B4A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41186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64E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8BB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信号线</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948E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KVV6*1.0</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E48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0C0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970E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0766C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270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500C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屏蔽线</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178A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DJYVP-0.5KV-2*1.0</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350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416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983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74391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1F2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965F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管材</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C7F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PVCØ25/PE</w:t>
            </w:r>
            <w:r>
              <w:rPr>
                <w:rStyle w:val="126"/>
                <w:rFonts w:hint="eastAsia" w:ascii="宋体" w:hAnsi="宋体" w:eastAsia="宋体" w:cs="宋体"/>
                <w:sz w:val="20"/>
                <w:szCs w:val="20"/>
                <w:highlight w:val="none"/>
                <w:lang w:val="en-US" w:eastAsia="zh-CN" w:bidi="ar"/>
              </w:rPr>
              <w:t>波纹管Ø32</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201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034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7EE5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331BC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4BB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7FE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辅材</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79A2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管路施工辅材，接线端子，中间继电器改造材料等</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428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608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EC0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4D7B7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12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CB9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PSA组态软件配置</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F8F8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根据泵站现地设施数量搭建可视化人机交互界面，包含设备运行监测数据、告警数据、参数设定配置等；</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E1E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60B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8C65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F385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92B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1C7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数据读写操作配置</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CC9F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实现前端基础数据读写操作处理</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2BC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C9A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3AC64">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B76E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2A7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DD5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系统集成</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8B0B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现地控制柜改造，实现与监管平台数据接入集成</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479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5CA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7AA4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FDBB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F18B">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w:t>
            </w:r>
          </w:p>
        </w:tc>
        <w:tc>
          <w:tcPr>
            <w:tcW w:w="69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34B1D9">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视频监控设施</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95D2">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highlight w:val="none"/>
                <w:u w:val="none"/>
                <w:lang w:val="en-US" w:eastAsia="zh-CN" w:bidi="ar"/>
              </w:rPr>
            </w:pPr>
          </w:p>
        </w:tc>
      </w:tr>
      <w:tr w14:paraId="1104E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3E8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B1B9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高清球机</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17FAB">
            <w:pPr>
              <w:keepNext w:val="0"/>
              <w:keepLines w:val="0"/>
              <w:widowControl/>
              <w:suppressLineNumbers w:val="0"/>
              <w:jc w:val="left"/>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b/>
                <w:bCs/>
                <w:i w:val="0"/>
                <w:iCs w:val="0"/>
                <w:color w:val="000000"/>
                <w:kern w:val="0"/>
                <w:sz w:val="20"/>
                <w:szCs w:val="20"/>
                <w:highlight w:val="none"/>
                <w:u w:val="none"/>
                <w:lang w:val="en-US" w:eastAsia="zh-CN" w:bidi="ar"/>
              </w:rPr>
              <w:t>详见主要技术参数3.</w:t>
            </w:r>
            <w:r>
              <w:rPr>
                <w:rFonts w:hint="eastAsia" w:ascii="宋体" w:hAnsi="宋体" w:cs="宋体"/>
                <w:b/>
                <w:bCs/>
                <w:i w:val="0"/>
                <w:iCs w:val="0"/>
                <w:color w:val="000000"/>
                <w:kern w:val="0"/>
                <w:sz w:val="20"/>
                <w:szCs w:val="20"/>
                <w:highlight w:val="none"/>
                <w:u w:val="none"/>
                <w:lang w:val="en-US" w:eastAsia="zh-CN" w:bidi="ar"/>
              </w:rPr>
              <w:t>3</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D54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635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3A7A7">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27141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E2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7AE8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立杆</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6844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不锈钢杆件，高度5M,含挑臂、立杆基础预埋及浇筑材料。</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FBE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30D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CB2E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工业</w:t>
            </w:r>
          </w:p>
        </w:tc>
      </w:tr>
      <w:tr w14:paraId="43599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270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B58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电源线</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C9B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RVV2*1.0</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1A2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C1C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129C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工业</w:t>
            </w:r>
          </w:p>
        </w:tc>
      </w:tr>
      <w:tr w14:paraId="030AD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A65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70A2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通讯线</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F274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网线CAT.5e</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B44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0B2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CC8A1">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工业</w:t>
            </w:r>
          </w:p>
        </w:tc>
      </w:tr>
      <w:tr w14:paraId="2B681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60E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DE58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管材</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247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PVC25/20</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DC6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A29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100</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B607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工业</w:t>
            </w:r>
          </w:p>
        </w:tc>
      </w:tr>
      <w:tr w14:paraId="024E6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040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B2E5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安装辅材</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A84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跳线、标签、扎带、接头等</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E47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717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5F2D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工业</w:t>
            </w:r>
          </w:p>
        </w:tc>
      </w:tr>
      <w:tr w14:paraId="17CF8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551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08B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系统集成</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93B5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设备安装调试及原视频监控平台接入联调</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3D8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3EC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F91D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3640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55B4B">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三</w:t>
            </w:r>
          </w:p>
        </w:tc>
        <w:tc>
          <w:tcPr>
            <w:tcW w:w="56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6BD3E">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通信网络建设</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6CB90">
            <w:pPr>
              <w:jc w:val="left"/>
              <w:rPr>
                <w:rFonts w:hint="eastAsia" w:ascii="宋体" w:hAnsi="宋体" w:eastAsia="宋体" w:cs="宋体"/>
                <w:b/>
                <w:bCs/>
                <w:i w:val="0"/>
                <w:iCs w:val="0"/>
                <w:color w:val="000000"/>
                <w:sz w:val="20"/>
                <w:szCs w:val="20"/>
                <w:highlight w:val="none"/>
                <w:u w:val="none"/>
              </w:rPr>
            </w:pP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EC36">
            <w:pPr>
              <w:jc w:val="center"/>
              <w:rPr>
                <w:rFonts w:hint="eastAsia" w:ascii="宋体" w:hAnsi="宋体" w:eastAsia="宋体" w:cs="宋体"/>
                <w:b/>
                <w:bCs/>
                <w:i w:val="0"/>
                <w:iCs w:val="0"/>
                <w:color w:val="000000"/>
                <w:sz w:val="20"/>
                <w:szCs w:val="20"/>
                <w:highlight w:val="none"/>
                <w:u w:val="none"/>
              </w:rPr>
            </w:pP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FF400">
            <w:pPr>
              <w:jc w:val="center"/>
              <w:rPr>
                <w:rFonts w:hint="eastAsia" w:ascii="宋体" w:hAnsi="宋体" w:eastAsia="宋体" w:cs="宋体"/>
                <w:b/>
                <w:bCs/>
                <w:i w:val="0"/>
                <w:iCs w:val="0"/>
                <w:color w:val="000000"/>
                <w:sz w:val="20"/>
                <w:szCs w:val="20"/>
                <w:highlight w:val="none"/>
                <w:u w:val="none"/>
              </w:rPr>
            </w:pPr>
          </w:p>
        </w:tc>
      </w:tr>
      <w:tr w14:paraId="1D3F3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6A2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2036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视频专线费</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97D3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VPN50M专线5年服务费</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029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AD0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96F72">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信息传输业</w:t>
            </w:r>
          </w:p>
        </w:tc>
      </w:tr>
      <w:tr w14:paraId="4F832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4AF2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四</w:t>
            </w:r>
          </w:p>
        </w:tc>
        <w:tc>
          <w:tcPr>
            <w:tcW w:w="6971"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D015B">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新能源供电系统</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91490">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highlight w:val="none"/>
                <w:u w:val="none"/>
                <w:lang w:val="en-US" w:eastAsia="zh-CN" w:bidi="ar"/>
              </w:rPr>
            </w:pPr>
          </w:p>
        </w:tc>
      </w:tr>
      <w:tr w14:paraId="541AC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540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21BF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风光互补供电系统</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1B8B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包含风力发电机、太阳能板、风光互补控制器、储能电池组、8米立杆及附件等，要求总负载≤100w，连续阴雨天续航≥7天。</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1E2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FCD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76F93">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工业</w:t>
            </w:r>
          </w:p>
        </w:tc>
      </w:tr>
      <w:tr w14:paraId="2F8BF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1A8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5074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风光互补智慧监管平台系统</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BAD86">
            <w:pPr>
              <w:keepNext w:val="0"/>
              <w:keepLines w:val="0"/>
              <w:widowControl/>
              <w:suppressLineNumbers w:val="0"/>
              <w:jc w:val="left"/>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b/>
                <w:bCs/>
                <w:i w:val="0"/>
                <w:iCs w:val="0"/>
                <w:color w:val="000000"/>
                <w:kern w:val="0"/>
                <w:sz w:val="20"/>
                <w:szCs w:val="20"/>
                <w:highlight w:val="none"/>
                <w:u w:val="none"/>
                <w:lang w:val="en-US" w:eastAsia="zh-CN" w:bidi="ar"/>
              </w:rPr>
              <w:t>详见主要技术参数3.</w:t>
            </w:r>
            <w:r>
              <w:rPr>
                <w:rFonts w:hint="eastAsia" w:ascii="宋体" w:hAnsi="宋体" w:cs="宋体"/>
                <w:b/>
                <w:bCs/>
                <w:i w:val="0"/>
                <w:iCs w:val="0"/>
                <w:color w:val="000000"/>
                <w:kern w:val="0"/>
                <w:sz w:val="20"/>
                <w:szCs w:val="20"/>
                <w:highlight w:val="none"/>
                <w:u w:val="none"/>
                <w:lang w:val="en-US" w:eastAsia="zh-CN" w:bidi="ar"/>
              </w:rPr>
              <w:t>4</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93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01D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20DBD">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7B4B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544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B6BF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系统集成</w:t>
            </w:r>
          </w:p>
        </w:tc>
        <w:tc>
          <w:tcPr>
            <w:tcW w:w="3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713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设备安装调试及平台接入联调</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9FD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55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4535A">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3608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884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59F8035">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其他费用</w:t>
            </w:r>
          </w:p>
        </w:tc>
      </w:tr>
      <w:tr w14:paraId="09EF8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7337E">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C92E5">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软件测评</w:t>
            </w:r>
          </w:p>
        </w:tc>
        <w:tc>
          <w:tcPr>
            <w:tcW w:w="3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430F1">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软件测评</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8A33">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F7DBE">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D6785">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299B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C07CE">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20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78589">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等保测评</w:t>
            </w:r>
          </w:p>
        </w:tc>
        <w:tc>
          <w:tcPr>
            <w:tcW w:w="3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4AB35">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等保测评</w:t>
            </w:r>
          </w:p>
        </w:tc>
        <w:tc>
          <w:tcPr>
            <w:tcW w:w="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AD70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项</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6386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BB268">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bl>
    <w:p w14:paraId="7997F057">
      <w:pPr>
        <w:numPr>
          <w:ilvl w:val="2"/>
          <w:numId w:val="0"/>
        </w:numPr>
        <w:spacing w:line="400" w:lineRule="exact"/>
        <w:ind w:firstLine="480" w:firstLineChars="200"/>
        <w:rPr>
          <w:rFonts w:hint="eastAsia" w:ascii="宋体" w:hAnsi="宋体" w:eastAsia="宋体" w:cs="宋体"/>
          <w:sz w:val="24"/>
          <w:highlight w:val="none"/>
          <w:lang w:val="en-US" w:eastAsia="zh-CN"/>
        </w:rPr>
      </w:pPr>
    </w:p>
    <w:p w14:paraId="6337FD78">
      <w:pPr>
        <w:spacing w:line="276" w:lineRule="auto"/>
        <w:outlineLvl w:val="1"/>
        <w:rPr>
          <w:rFonts w:hint="eastAsia" w:ascii="宋体" w:hAnsi="宋体" w:eastAsia="宋体" w:cs="宋体"/>
          <w:b/>
          <w:sz w:val="24"/>
          <w:highlight w:val="none"/>
          <w:lang w:val="en-US" w:eastAsia="zh-CN"/>
        </w:rPr>
      </w:pPr>
      <w:r>
        <w:rPr>
          <w:rFonts w:hint="eastAsia" w:ascii="宋体" w:hAnsi="宋体" w:cs="宋体"/>
          <w:b/>
          <w:sz w:val="24"/>
          <w:highlight w:val="none"/>
          <w:lang w:val="en-US" w:eastAsia="zh-CN"/>
        </w:rPr>
        <w:t>2.2</w:t>
      </w:r>
      <w:r>
        <w:rPr>
          <w:rFonts w:hint="eastAsia" w:ascii="宋体" w:hAnsi="宋体" w:eastAsia="宋体" w:cs="宋体"/>
          <w:b/>
          <w:sz w:val="24"/>
          <w:highlight w:val="none"/>
          <w:lang w:val="en-US" w:eastAsia="zh-CN"/>
        </w:rPr>
        <w:t>软件清单：</w:t>
      </w:r>
    </w:p>
    <w:tbl>
      <w:tblPr>
        <w:tblStyle w:val="32"/>
        <w:tblW w:w="8847" w:type="dxa"/>
        <w:jc w:val="center"/>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Layout w:type="fixed"/>
        <w:tblCellMar>
          <w:top w:w="0" w:type="dxa"/>
          <w:left w:w="108" w:type="dxa"/>
          <w:bottom w:w="0" w:type="dxa"/>
          <w:right w:w="108" w:type="dxa"/>
        </w:tblCellMar>
      </w:tblPr>
      <w:tblGrid>
        <w:gridCol w:w="411"/>
        <w:gridCol w:w="664"/>
        <w:gridCol w:w="1078"/>
        <w:gridCol w:w="1299"/>
        <w:gridCol w:w="3975"/>
        <w:gridCol w:w="1420"/>
      </w:tblGrid>
      <w:tr w14:paraId="11441BD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25" w:hRule="atLeast"/>
          <w:jc w:val="center"/>
        </w:trPr>
        <w:tc>
          <w:tcPr>
            <w:tcW w:w="8847" w:type="dxa"/>
            <w:gridSpan w:val="6"/>
            <w:tcBorders>
              <w:tl2br w:val="nil"/>
              <w:tr2bl w:val="nil"/>
            </w:tcBorders>
            <w:shd w:val="clear" w:color="auto" w:fill="auto"/>
            <w:noWrap/>
            <w:vAlign w:val="center"/>
          </w:tcPr>
          <w:p w14:paraId="1D8691C1">
            <w:pPr>
              <w:keepNext w:val="0"/>
              <w:keepLines w:val="0"/>
              <w:widowControl/>
              <w:suppressLineNumbers w:val="0"/>
              <w:jc w:val="center"/>
              <w:textAlignment w:val="center"/>
              <w:rPr>
                <w:rFonts w:hint="eastAsia" w:ascii="宋体" w:hAnsi="宋体" w:eastAsia="宋体" w:cs="宋体"/>
                <w:i w:val="0"/>
                <w:iCs w:val="0"/>
                <w:color w:val="000000"/>
                <w:kern w:val="0"/>
                <w:sz w:val="40"/>
                <w:szCs w:val="40"/>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系统平台升级</w:t>
            </w:r>
          </w:p>
        </w:tc>
      </w:tr>
      <w:tr w14:paraId="40EC975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1540" w:hRule="atLeast"/>
          <w:jc w:val="center"/>
        </w:trPr>
        <w:tc>
          <w:tcPr>
            <w:tcW w:w="411" w:type="dxa"/>
            <w:tcBorders>
              <w:tl2br w:val="nil"/>
              <w:tr2bl w:val="nil"/>
            </w:tcBorders>
            <w:shd w:val="clear" w:color="auto" w:fill="auto"/>
            <w:vAlign w:val="center"/>
          </w:tcPr>
          <w:p w14:paraId="2ECF6AA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664" w:type="dxa"/>
            <w:tcBorders>
              <w:tl2br w:val="nil"/>
              <w:tr2bl w:val="nil"/>
            </w:tcBorders>
            <w:shd w:val="clear" w:color="auto" w:fill="auto"/>
            <w:vAlign w:val="center"/>
          </w:tcPr>
          <w:p w14:paraId="0AF59D84">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一级</w:t>
            </w:r>
          </w:p>
          <w:p w14:paraId="70F8B67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模块</w:t>
            </w:r>
          </w:p>
        </w:tc>
        <w:tc>
          <w:tcPr>
            <w:tcW w:w="1078" w:type="dxa"/>
            <w:tcBorders>
              <w:tl2br w:val="nil"/>
              <w:tr2bl w:val="nil"/>
            </w:tcBorders>
            <w:shd w:val="clear" w:color="auto" w:fill="auto"/>
            <w:vAlign w:val="center"/>
          </w:tcPr>
          <w:p w14:paraId="239AE66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二级模块</w:t>
            </w:r>
          </w:p>
        </w:tc>
        <w:tc>
          <w:tcPr>
            <w:tcW w:w="1299" w:type="dxa"/>
            <w:tcBorders>
              <w:tl2br w:val="nil"/>
              <w:tr2bl w:val="nil"/>
            </w:tcBorders>
            <w:shd w:val="clear" w:color="auto" w:fill="auto"/>
            <w:vAlign w:val="center"/>
          </w:tcPr>
          <w:p w14:paraId="6E8AD76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三级模块</w:t>
            </w:r>
          </w:p>
        </w:tc>
        <w:tc>
          <w:tcPr>
            <w:tcW w:w="3975" w:type="dxa"/>
            <w:tcBorders>
              <w:tl2br w:val="nil"/>
              <w:tr2bl w:val="nil"/>
            </w:tcBorders>
            <w:shd w:val="clear" w:color="auto" w:fill="auto"/>
            <w:vAlign w:val="center"/>
          </w:tcPr>
          <w:p w14:paraId="1C522C7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功能描述</w:t>
            </w:r>
          </w:p>
        </w:tc>
        <w:tc>
          <w:tcPr>
            <w:tcW w:w="1420" w:type="dxa"/>
            <w:tcBorders>
              <w:tl2br w:val="nil"/>
              <w:tr2bl w:val="nil"/>
            </w:tcBorders>
            <w:shd w:val="clear" w:color="auto" w:fill="auto"/>
            <w:vAlign w:val="center"/>
          </w:tcPr>
          <w:p w14:paraId="0E7B1CB2">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所属行业</w:t>
            </w:r>
          </w:p>
        </w:tc>
      </w:tr>
      <w:tr w14:paraId="0B873B0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restart"/>
            <w:tcBorders>
              <w:tl2br w:val="nil"/>
              <w:tr2bl w:val="nil"/>
            </w:tcBorders>
            <w:shd w:val="clear" w:color="auto" w:fill="auto"/>
            <w:vAlign w:val="center"/>
          </w:tcPr>
          <w:p w14:paraId="31110B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664" w:type="dxa"/>
            <w:vMerge w:val="restart"/>
            <w:tcBorders>
              <w:tl2br w:val="nil"/>
              <w:tr2bl w:val="nil"/>
            </w:tcBorders>
            <w:shd w:val="clear" w:color="auto" w:fill="auto"/>
            <w:vAlign w:val="center"/>
          </w:tcPr>
          <w:p w14:paraId="407B06A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地理信息服务系统</w:t>
            </w:r>
          </w:p>
        </w:tc>
        <w:tc>
          <w:tcPr>
            <w:tcW w:w="1078" w:type="dxa"/>
            <w:vMerge w:val="restart"/>
            <w:tcBorders>
              <w:tl2br w:val="nil"/>
              <w:tr2bl w:val="nil"/>
            </w:tcBorders>
            <w:shd w:val="clear" w:color="auto" w:fill="auto"/>
            <w:vAlign w:val="center"/>
          </w:tcPr>
          <w:p w14:paraId="2EFAE0F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液位信息管理</w:t>
            </w:r>
          </w:p>
        </w:tc>
        <w:tc>
          <w:tcPr>
            <w:tcW w:w="1299" w:type="dxa"/>
            <w:tcBorders>
              <w:tl2br w:val="nil"/>
              <w:tr2bl w:val="nil"/>
            </w:tcBorders>
            <w:shd w:val="clear" w:color="auto" w:fill="auto"/>
            <w:vAlign w:val="center"/>
          </w:tcPr>
          <w:p w14:paraId="5EB81EA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实时水位变化数据展示</w:t>
            </w:r>
          </w:p>
        </w:tc>
        <w:tc>
          <w:tcPr>
            <w:tcW w:w="3975" w:type="dxa"/>
            <w:tcBorders>
              <w:tl2br w:val="nil"/>
              <w:tr2bl w:val="nil"/>
            </w:tcBorders>
            <w:shd w:val="clear" w:color="auto" w:fill="auto"/>
            <w:vAlign w:val="center"/>
          </w:tcPr>
          <w:p w14:paraId="10BFB0B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通过实时更新的图表和数据表格，展示各监测点的水位变化数据。</w:t>
            </w:r>
          </w:p>
        </w:tc>
        <w:tc>
          <w:tcPr>
            <w:tcW w:w="1420" w:type="dxa"/>
            <w:tcBorders>
              <w:tl2br w:val="nil"/>
              <w:tr2bl w:val="nil"/>
            </w:tcBorders>
            <w:shd w:val="clear" w:color="auto" w:fill="auto"/>
            <w:vAlign w:val="center"/>
          </w:tcPr>
          <w:p w14:paraId="3C0627E4">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E7DFA9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6947C100">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0E8911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1303445">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3A3400B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24小时液位变化速率分析</w:t>
            </w:r>
          </w:p>
        </w:tc>
        <w:tc>
          <w:tcPr>
            <w:tcW w:w="3975" w:type="dxa"/>
            <w:tcBorders>
              <w:tl2br w:val="nil"/>
              <w:tr2bl w:val="nil"/>
            </w:tcBorders>
            <w:shd w:val="clear" w:color="auto" w:fill="auto"/>
            <w:vAlign w:val="center"/>
          </w:tcPr>
          <w:p w14:paraId="5959BF1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系统能够自动计算并展示24小时内各监测点的液位变化速率。</w:t>
            </w:r>
          </w:p>
        </w:tc>
        <w:tc>
          <w:tcPr>
            <w:tcW w:w="1420" w:type="dxa"/>
            <w:tcBorders>
              <w:tl2br w:val="nil"/>
              <w:tr2bl w:val="nil"/>
            </w:tcBorders>
            <w:shd w:val="clear" w:color="auto" w:fill="auto"/>
            <w:vAlign w:val="center"/>
          </w:tcPr>
          <w:p w14:paraId="7C41647F">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E1F89C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499E2F94">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94AAA47">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625E5F4F">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65E226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液位流量剖面图绘制</w:t>
            </w:r>
          </w:p>
        </w:tc>
        <w:tc>
          <w:tcPr>
            <w:tcW w:w="3975" w:type="dxa"/>
            <w:tcBorders>
              <w:tl2br w:val="nil"/>
              <w:tr2bl w:val="nil"/>
            </w:tcBorders>
            <w:shd w:val="clear" w:color="auto" w:fill="auto"/>
            <w:vAlign w:val="center"/>
          </w:tcPr>
          <w:p w14:paraId="5F1BB0A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根据实时数据，系统可以绘制液位流量剖面图，直观反映泵站水流情况。</w:t>
            </w:r>
          </w:p>
        </w:tc>
        <w:tc>
          <w:tcPr>
            <w:tcW w:w="1420" w:type="dxa"/>
            <w:tcBorders>
              <w:tl2br w:val="nil"/>
              <w:tr2bl w:val="nil"/>
            </w:tcBorders>
            <w:shd w:val="clear" w:color="auto" w:fill="auto"/>
            <w:vAlign w:val="center"/>
          </w:tcPr>
          <w:p w14:paraId="272F69B2">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4E48EE3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98556A2">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5623925">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4FF8751">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96E955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近24小时泵机启闭状态监控</w:t>
            </w:r>
          </w:p>
        </w:tc>
        <w:tc>
          <w:tcPr>
            <w:tcW w:w="3975" w:type="dxa"/>
            <w:tcBorders>
              <w:tl2br w:val="nil"/>
              <w:tr2bl w:val="nil"/>
            </w:tcBorders>
            <w:shd w:val="clear" w:color="auto" w:fill="auto"/>
            <w:vAlign w:val="center"/>
          </w:tcPr>
          <w:p w14:paraId="5904EF0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系统实时监控泵机的启闭状态，并记录历史数据。</w:t>
            </w:r>
          </w:p>
        </w:tc>
        <w:tc>
          <w:tcPr>
            <w:tcW w:w="1420" w:type="dxa"/>
            <w:tcBorders>
              <w:tl2br w:val="nil"/>
              <w:tr2bl w:val="nil"/>
            </w:tcBorders>
            <w:shd w:val="clear" w:color="auto" w:fill="auto"/>
            <w:vAlign w:val="center"/>
          </w:tcPr>
          <w:p w14:paraId="33CB44AB">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F2633C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472C5B7F">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A18BDA1">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BC0DBAA">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5D58D6D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视频监控集成</w:t>
            </w:r>
          </w:p>
        </w:tc>
        <w:tc>
          <w:tcPr>
            <w:tcW w:w="3975" w:type="dxa"/>
            <w:tcBorders>
              <w:tl2br w:val="nil"/>
              <w:tr2bl w:val="nil"/>
            </w:tcBorders>
            <w:shd w:val="clear" w:color="auto" w:fill="auto"/>
            <w:vAlign w:val="center"/>
          </w:tcPr>
          <w:p w14:paraId="7D4AAB2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实现泵站关键区域的视频监控。</w:t>
            </w:r>
          </w:p>
        </w:tc>
        <w:tc>
          <w:tcPr>
            <w:tcW w:w="1420" w:type="dxa"/>
            <w:tcBorders>
              <w:tl2br w:val="nil"/>
              <w:tr2bl w:val="nil"/>
            </w:tcBorders>
            <w:shd w:val="clear" w:color="auto" w:fill="auto"/>
            <w:vAlign w:val="center"/>
          </w:tcPr>
          <w:p w14:paraId="71A37C3E">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CE728E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73D7B021">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1444F6A">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22D94A30">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0811D11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液位过程线分析</w:t>
            </w:r>
          </w:p>
        </w:tc>
        <w:tc>
          <w:tcPr>
            <w:tcW w:w="3975" w:type="dxa"/>
            <w:tcBorders>
              <w:tl2br w:val="nil"/>
              <w:tr2bl w:val="nil"/>
            </w:tcBorders>
            <w:shd w:val="clear" w:color="auto" w:fill="auto"/>
            <w:vAlign w:val="center"/>
          </w:tcPr>
          <w:p w14:paraId="1647DA7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系统能够生成日、周、月等不同时间尺度的泵站液位和变化速率过程线。</w:t>
            </w:r>
          </w:p>
        </w:tc>
        <w:tc>
          <w:tcPr>
            <w:tcW w:w="1420" w:type="dxa"/>
            <w:tcBorders>
              <w:tl2br w:val="nil"/>
              <w:tr2bl w:val="nil"/>
            </w:tcBorders>
            <w:shd w:val="clear" w:color="auto" w:fill="auto"/>
            <w:vAlign w:val="center"/>
          </w:tcPr>
          <w:p w14:paraId="6C70011C">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88221E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1020" w:hRule="atLeast"/>
          <w:jc w:val="center"/>
        </w:trPr>
        <w:tc>
          <w:tcPr>
            <w:tcW w:w="411" w:type="dxa"/>
            <w:vMerge w:val="continue"/>
            <w:tcBorders>
              <w:tl2br w:val="nil"/>
              <w:tr2bl w:val="nil"/>
            </w:tcBorders>
            <w:shd w:val="clear" w:color="auto" w:fill="auto"/>
            <w:vAlign w:val="center"/>
          </w:tcPr>
          <w:p w14:paraId="0DF6001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7DCDE0E">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18BB0FE">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2DEB0B0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液位报表生成</w:t>
            </w:r>
          </w:p>
        </w:tc>
        <w:tc>
          <w:tcPr>
            <w:tcW w:w="3975" w:type="dxa"/>
            <w:tcBorders>
              <w:tl2br w:val="nil"/>
              <w:tr2bl w:val="nil"/>
            </w:tcBorders>
            <w:shd w:val="clear" w:color="auto" w:fill="auto"/>
            <w:vAlign w:val="center"/>
          </w:tcPr>
          <w:p w14:paraId="498A166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根据用户需求，系统可以自动生成液位相关的统计报表。</w:t>
            </w:r>
          </w:p>
        </w:tc>
        <w:tc>
          <w:tcPr>
            <w:tcW w:w="1420" w:type="dxa"/>
            <w:tcBorders>
              <w:tl2br w:val="nil"/>
              <w:tr2bl w:val="nil"/>
            </w:tcBorders>
            <w:shd w:val="clear" w:color="auto" w:fill="auto"/>
            <w:vAlign w:val="center"/>
          </w:tcPr>
          <w:p w14:paraId="301452A2">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00BDAA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1020" w:hRule="atLeast"/>
          <w:jc w:val="center"/>
        </w:trPr>
        <w:tc>
          <w:tcPr>
            <w:tcW w:w="411" w:type="dxa"/>
            <w:vMerge w:val="continue"/>
            <w:tcBorders>
              <w:tl2br w:val="nil"/>
              <w:tr2bl w:val="nil"/>
            </w:tcBorders>
            <w:shd w:val="clear" w:color="auto" w:fill="auto"/>
            <w:vAlign w:val="center"/>
          </w:tcPr>
          <w:p w14:paraId="6A83510C">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70AE0FF9">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69057DCB">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58DA13E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报警统计与查询</w:t>
            </w:r>
          </w:p>
        </w:tc>
        <w:tc>
          <w:tcPr>
            <w:tcW w:w="3975" w:type="dxa"/>
            <w:tcBorders>
              <w:tl2br w:val="nil"/>
              <w:tr2bl w:val="nil"/>
            </w:tcBorders>
            <w:shd w:val="clear" w:color="auto" w:fill="auto"/>
            <w:vAlign w:val="center"/>
          </w:tcPr>
          <w:p w14:paraId="27540E9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当液位出现异常时，系统会自动触发报警功能。</w:t>
            </w:r>
          </w:p>
        </w:tc>
        <w:tc>
          <w:tcPr>
            <w:tcW w:w="1420" w:type="dxa"/>
            <w:tcBorders>
              <w:tl2br w:val="nil"/>
              <w:tr2bl w:val="nil"/>
            </w:tcBorders>
            <w:shd w:val="clear" w:color="auto" w:fill="auto"/>
            <w:vAlign w:val="center"/>
          </w:tcPr>
          <w:p w14:paraId="09203177">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E0DB07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099B1C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980E950">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vAlign w:val="center"/>
          </w:tcPr>
          <w:p w14:paraId="6C612AD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视频监控</w:t>
            </w:r>
          </w:p>
        </w:tc>
        <w:tc>
          <w:tcPr>
            <w:tcW w:w="1299" w:type="dxa"/>
            <w:tcBorders>
              <w:tl2br w:val="nil"/>
              <w:tr2bl w:val="nil"/>
            </w:tcBorders>
            <w:shd w:val="clear" w:color="auto" w:fill="auto"/>
            <w:vAlign w:val="center"/>
          </w:tcPr>
          <w:p w14:paraId="59A5734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vAlign w:val="center"/>
          </w:tcPr>
          <w:p w14:paraId="5BC9C7E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用户可以在系统中实时查看泵站现场的视频画面。</w:t>
            </w:r>
          </w:p>
        </w:tc>
        <w:tc>
          <w:tcPr>
            <w:tcW w:w="1420" w:type="dxa"/>
            <w:tcBorders>
              <w:tl2br w:val="nil"/>
              <w:tr2bl w:val="nil"/>
            </w:tcBorders>
            <w:shd w:val="clear" w:color="auto" w:fill="auto"/>
            <w:vAlign w:val="center"/>
          </w:tcPr>
          <w:p w14:paraId="76503D4A">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63F845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8DBFCFC">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A648160">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52CCC7D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积淹水情管理</w:t>
            </w:r>
          </w:p>
        </w:tc>
        <w:tc>
          <w:tcPr>
            <w:tcW w:w="1299" w:type="dxa"/>
            <w:tcBorders>
              <w:tl2br w:val="nil"/>
              <w:tr2bl w:val="nil"/>
            </w:tcBorders>
            <w:shd w:val="clear" w:color="auto" w:fill="auto"/>
            <w:vAlign w:val="center"/>
          </w:tcPr>
          <w:p w14:paraId="74FC0D9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积淹设备接入（预留）</w:t>
            </w:r>
          </w:p>
        </w:tc>
        <w:tc>
          <w:tcPr>
            <w:tcW w:w="3975" w:type="dxa"/>
            <w:tcBorders>
              <w:tl2br w:val="nil"/>
              <w:tr2bl w:val="nil"/>
            </w:tcBorders>
            <w:shd w:val="clear" w:color="auto" w:fill="auto"/>
            <w:vAlign w:val="center"/>
          </w:tcPr>
          <w:p w14:paraId="252219F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实现泵站积淹设备的的对接和计入管理。</w:t>
            </w:r>
          </w:p>
        </w:tc>
        <w:tc>
          <w:tcPr>
            <w:tcW w:w="1420" w:type="dxa"/>
            <w:tcBorders>
              <w:tl2br w:val="nil"/>
              <w:tr2bl w:val="nil"/>
            </w:tcBorders>
            <w:shd w:val="clear" w:color="auto" w:fill="auto"/>
            <w:vAlign w:val="center"/>
          </w:tcPr>
          <w:p w14:paraId="4260BB17">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1DEA94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24210411">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4BA9928">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C7646CA">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23FF59E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积淹预警展示</w:t>
            </w:r>
          </w:p>
        </w:tc>
        <w:tc>
          <w:tcPr>
            <w:tcW w:w="3975" w:type="dxa"/>
            <w:tcBorders>
              <w:tl2br w:val="nil"/>
              <w:tr2bl w:val="nil"/>
            </w:tcBorders>
            <w:shd w:val="clear" w:color="auto" w:fill="auto"/>
            <w:vAlign w:val="center"/>
          </w:tcPr>
          <w:p w14:paraId="00DAD16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在系统界面上弹窗展示所有积淹预警信息的展示。</w:t>
            </w:r>
          </w:p>
        </w:tc>
        <w:tc>
          <w:tcPr>
            <w:tcW w:w="1420" w:type="dxa"/>
            <w:tcBorders>
              <w:tl2br w:val="nil"/>
              <w:tr2bl w:val="nil"/>
            </w:tcBorders>
            <w:shd w:val="clear" w:color="auto" w:fill="auto"/>
            <w:vAlign w:val="center"/>
          </w:tcPr>
          <w:p w14:paraId="19D9B4B2">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40A5A73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53B7B147">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61D498B">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27CD477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工情信息管理</w:t>
            </w:r>
          </w:p>
        </w:tc>
        <w:tc>
          <w:tcPr>
            <w:tcW w:w="1299" w:type="dxa"/>
            <w:tcBorders>
              <w:tl2br w:val="nil"/>
              <w:tr2bl w:val="nil"/>
            </w:tcBorders>
            <w:shd w:val="clear" w:color="auto" w:fill="auto"/>
            <w:vAlign w:val="center"/>
          </w:tcPr>
          <w:p w14:paraId="2C774D0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泵机运行状态监控</w:t>
            </w:r>
          </w:p>
        </w:tc>
        <w:tc>
          <w:tcPr>
            <w:tcW w:w="3975" w:type="dxa"/>
            <w:tcBorders>
              <w:tl2br w:val="nil"/>
              <w:tr2bl w:val="nil"/>
            </w:tcBorders>
            <w:shd w:val="clear" w:color="auto" w:fill="auto"/>
            <w:vAlign w:val="center"/>
          </w:tcPr>
          <w:p w14:paraId="757F499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实时监控泵机的运行状态，包括电流、电压、温度等关键参数。</w:t>
            </w:r>
          </w:p>
        </w:tc>
        <w:tc>
          <w:tcPr>
            <w:tcW w:w="1420" w:type="dxa"/>
            <w:tcBorders>
              <w:tl2br w:val="nil"/>
              <w:tr2bl w:val="nil"/>
            </w:tcBorders>
            <w:shd w:val="clear" w:color="auto" w:fill="auto"/>
            <w:vAlign w:val="center"/>
          </w:tcPr>
          <w:p w14:paraId="0344BB63">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4276393">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06EDDC8E">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B017571">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6BAE627">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2A36F00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泵机启闭状态统计</w:t>
            </w:r>
          </w:p>
        </w:tc>
        <w:tc>
          <w:tcPr>
            <w:tcW w:w="3975" w:type="dxa"/>
            <w:tcBorders>
              <w:tl2br w:val="nil"/>
              <w:tr2bl w:val="nil"/>
            </w:tcBorders>
            <w:shd w:val="clear" w:color="auto" w:fill="auto"/>
            <w:vAlign w:val="center"/>
          </w:tcPr>
          <w:p w14:paraId="494F235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统计泵机在日、周、月等不同时间尺度内的启闭状态，为运行维护提供参考。</w:t>
            </w:r>
          </w:p>
        </w:tc>
        <w:tc>
          <w:tcPr>
            <w:tcW w:w="1420" w:type="dxa"/>
            <w:tcBorders>
              <w:tl2br w:val="nil"/>
              <w:tr2bl w:val="nil"/>
            </w:tcBorders>
            <w:shd w:val="clear" w:color="auto" w:fill="auto"/>
            <w:vAlign w:val="center"/>
          </w:tcPr>
          <w:p w14:paraId="743905D6">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6E0E26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5B626780">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816463A">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50853580">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0C4D01D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泵机报表生成</w:t>
            </w:r>
          </w:p>
        </w:tc>
        <w:tc>
          <w:tcPr>
            <w:tcW w:w="3975" w:type="dxa"/>
            <w:tcBorders>
              <w:tl2br w:val="nil"/>
              <w:tr2bl w:val="nil"/>
            </w:tcBorders>
            <w:shd w:val="clear" w:color="auto" w:fill="auto"/>
            <w:vAlign w:val="center"/>
          </w:tcPr>
          <w:p w14:paraId="48D3146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生成泵机运行相关的统计报表，如运行时长、耗电量等。</w:t>
            </w:r>
          </w:p>
        </w:tc>
        <w:tc>
          <w:tcPr>
            <w:tcW w:w="1420" w:type="dxa"/>
            <w:tcBorders>
              <w:tl2br w:val="nil"/>
              <w:tr2bl w:val="nil"/>
            </w:tcBorders>
            <w:shd w:val="clear" w:color="auto" w:fill="auto"/>
            <w:vAlign w:val="center"/>
          </w:tcPr>
          <w:p w14:paraId="3F9145AA">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66807A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1188ABFD">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5F27F24">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13E8826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预警与告警管理</w:t>
            </w:r>
          </w:p>
        </w:tc>
        <w:tc>
          <w:tcPr>
            <w:tcW w:w="1299" w:type="dxa"/>
            <w:tcBorders>
              <w:tl2br w:val="nil"/>
              <w:tr2bl w:val="nil"/>
            </w:tcBorders>
            <w:shd w:val="clear" w:color="auto" w:fill="auto"/>
            <w:vAlign w:val="center"/>
          </w:tcPr>
          <w:p w14:paraId="289A8FE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预警规则设置</w:t>
            </w:r>
          </w:p>
        </w:tc>
        <w:tc>
          <w:tcPr>
            <w:tcW w:w="3975" w:type="dxa"/>
            <w:tcBorders>
              <w:tl2br w:val="nil"/>
              <w:tr2bl w:val="nil"/>
            </w:tcBorders>
            <w:shd w:val="clear" w:color="auto" w:fill="auto"/>
            <w:vAlign w:val="center"/>
          </w:tcPr>
          <w:p w14:paraId="7EECD22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根据业务需求，设置液位、泵机运行、积淹水情等参数的预警规则。</w:t>
            </w:r>
          </w:p>
        </w:tc>
        <w:tc>
          <w:tcPr>
            <w:tcW w:w="1420" w:type="dxa"/>
            <w:tcBorders>
              <w:tl2br w:val="nil"/>
              <w:tr2bl w:val="nil"/>
            </w:tcBorders>
            <w:shd w:val="clear" w:color="auto" w:fill="auto"/>
            <w:vAlign w:val="center"/>
          </w:tcPr>
          <w:p w14:paraId="04968FCE">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D277E32">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FE2493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FC312D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D29E4B4">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33CAD85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实时预警与告警</w:t>
            </w:r>
          </w:p>
        </w:tc>
        <w:tc>
          <w:tcPr>
            <w:tcW w:w="3975" w:type="dxa"/>
            <w:tcBorders>
              <w:tl2br w:val="nil"/>
              <w:tr2bl w:val="nil"/>
            </w:tcBorders>
            <w:shd w:val="clear" w:color="auto" w:fill="auto"/>
            <w:vAlign w:val="center"/>
          </w:tcPr>
          <w:p w14:paraId="780E2BC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当参数超过预设阈值时，系统自动触发预警或告警，通过声音、弹窗等方式提醒用户。</w:t>
            </w:r>
          </w:p>
        </w:tc>
        <w:tc>
          <w:tcPr>
            <w:tcW w:w="1420" w:type="dxa"/>
            <w:tcBorders>
              <w:tl2br w:val="nil"/>
              <w:tr2bl w:val="nil"/>
            </w:tcBorders>
            <w:shd w:val="clear" w:color="auto" w:fill="auto"/>
            <w:vAlign w:val="center"/>
          </w:tcPr>
          <w:p w14:paraId="68BB54BB">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AF8AA8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4A2A953">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82DC804">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39DF99C">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35AD706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告警信息推送</w:t>
            </w:r>
          </w:p>
        </w:tc>
        <w:tc>
          <w:tcPr>
            <w:tcW w:w="3975" w:type="dxa"/>
            <w:tcBorders>
              <w:tl2br w:val="nil"/>
              <w:tr2bl w:val="nil"/>
            </w:tcBorders>
            <w:shd w:val="clear" w:color="auto" w:fill="auto"/>
            <w:vAlign w:val="center"/>
          </w:tcPr>
          <w:p w14:paraId="69727B3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除了支持在系统中自动触发告警信息之外，支持通过短信的方式实时推送预警信息给到相关人员。</w:t>
            </w:r>
          </w:p>
        </w:tc>
        <w:tc>
          <w:tcPr>
            <w:tcW w:w="1420" w:type="dxa"/>
            <w:tcBorders>
              <w:tl2br w:val="nil"/>
              <w:tr2bl w:val="nil"/>
            </w:tcBorders>
            <w:shd w:val="clear" w:color="auto" w:fill="auto"/>
            <w:vAlign w:val="center"/>
          </w:tcPr>
          <w:p w14:paraId="41BD7FF4">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4B6507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5E804614">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26C46A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D6C0DE9">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7852DE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告警处理与记录</w:t>
            </w:r>
          </w:p>
        </w:tc>
        <w:tc>
          <w:tcPr>
            <w:tcW w:w="3975" w:type="dxa"/>
            <w:tcBorders>
              <w:tl2br w:val="nil"/>
              <w:tr2bl w:val="nil"/>
            </w:tcBorders>
            <w:shd w:val="clear" w:color="auto" w:fill="auto"/>
            <w:vAlign w:val="center"/>
          </w:tcPr>
          <w:p w14:paraId="2DAA182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用户可对告警信息进行确认、处理，并自动记录处理过程和结果。</w:t>
            </w:r>
          </w:p>
        </w:tc>
        <w:tc>
          <w:tcPr>
            <w:tcW w:w="1420" w:type="dxa"/>
            <w:tcBorders>
              <w:tl2br w:val="nil"/>
              <w:tr2bl w:val="nil"/>
            </w:tcBorders>
            <w:shd w:val="clear" w:color="auto" w:fill="auto"/>
            <w:vAlign w:val="center"/>
          </w:tcPr>
          <w:p w14:paraId="2D499B86">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78E79F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43DE5D6A">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3D52C02">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04F58C3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应急响应物资管理</w:t>
            </w:r>
          </w:p>
        </w:tc>
        <w:tc>
          <w:tcPr>
            <w:tcW w:w="1299" w:type="dxa"/>
            <w:tcBorders>
              <w:tl2br w:val="nil"/>
              <w:tr2bl w:val="nil"/>
            </w:tcBorders>
            <w:shd w:val="clear" w:color="auto" w:fill="auto"/>
            <w:vAlign w:val="center"/>
          </w:tcPr>
          <w:p w14:paraId="74C9973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二维码管理</w:t>
            </w:r>
          </w:p>
        </w:tc>
        <w:tc>
          <w:tcPr>
            <w:tcW w:w="3975" w:type="dxa"/>
            <w:tcBorders>
              <w:tl2br w:val="nil"/>
              <w:tr2bl w:val="nil"/>
            </w:tcBorders>
            <w:shd w:val="clear" w:color="auto" w:fill="auto"/>
            <w:vAlign w:val="center"/>
          </w:tcPr>
          <w:p w14:paraId="46B456D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平台可生成物资、设备的二维码信息</w:t>
            </w:r>
            <w:r>
              <w:rPr>
                <w:rFonts w:hint="eastAsia" w:ascii="宋体" w:hAnsi="宋体" w:cs="宋体"/>
                <w:i w:val="0"/>
                <w:iCs w:val="0"/>
                <w:color w:val="000000"/>
                <w:kern w:val="0"/>
                <w:sz w:val="20"/>
                <w:szCs w:val="20"/>
                <w:highlight w:val="none"/>
                <w:u w:val="none"/>
                <w:lang w:val="en-US" w:eastAsia="zh-CN" w:bidi="ar"/>
              </w:rPr>
              <w:t>。</w:t>
            </w:r>
          </w:p>
        </w:tc>
        <w:tc>
          <w:tcPr>
            <w:tcW w:w="1420" w:type="dxa"/>
            <w:tcBorders>
              <w:tl2br w:val="nil"/>
              <w:tr2bl w:val="nil"/>
            </w:tcBorders>
            <w:shd w:val="clear" w:color="auto" w:fill="auto"/>
            <w:vAlign w:val="center"/>
          </w:tcPr>
          <w:p w14:paraId="21C3596C">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D28063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3E522FD">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ED95006">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09F1AD45">
            <w:pPr>
              <w:jc w:val="center"/>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481D891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物资信息管理</w:t>
            </w:r>
          </w:p>
        </w:tc>
        <w:tc>
          <w:tcPr>
            <w:tcW w:w="3975" w:type="dxa"/>
            <w:tcBorders>
              <w:tl2br w:val="nil"/>
              <w:tr2bl w:val="nil"/>
            </w:tcBorders>
            <w:shd w:val="clear" w:color="auto" w:fill="auto"/>
            <w:vAlign w:val="center"/>
          </w:tcPr>
          <w:p w14:paraId="2FD2173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录入和管理泵站应急响应所需的各类物资信息，如数量、存放位置等。支持手机二维码扫码。</w:t>
            </w:r>
          </w:p>
        </w:tc>
        <w:tc>
          <w:tcPr>
            <w:tcW w:w="1420" w:type="dxa"/>
            <w:tcBorders>
              <w:tl2br w:val="nil"/>
              <w:tr2bl w:val="nil"/>
            </w:tcBorders>
            <w:shd w:val="clear" w:color="auto" w:fill="auto"/>
            <w:vAlign w:val="center"/>
          </w:tcPr>
          <w:p w14:paraId="7F3372B3">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41E9865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5825FA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31DCFB8">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916B28B">
            <w:pPr>
              <w:jc w:val="center"/>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E7DD16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物资调度管理</w:t>
            </w:r>
          </w:p>
        </w:tc>
        <w:tc>
          <w:tcPr>
            <w:tcW w:w="3975" w:type="dxa"/>
            <w:tcBorders>
              <w:tl2br w:val="nil"/>
              <w:tr2bl w:val="nil"/>
            </w:tcBorders>
            <w:shd w:val="clear" w:color="auto" w:fill="auto"/>
            <w:vAlign w:val="center"/>
          </w:tcPr>
          <w:p w14:paraId="2EBF6DD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根据应急响应需求，快速调度物资，并记录调度过程。支持手机二维码扫码。</w:t>
            </w:r>
          </w:p>
        </w:tc>
        <w:tc>
          <w:tcPr>
            <w:tcW w:w="1420" w:type="dxa"/>
            <w:tcBorders>
              <w:tl2br w:val="nil"/>
              <w:tr2bl w:val="nil"/>
            </w:tcBorders>
            <w:shd w:val="clear" w:color="auto" w:fill="auto"/>
            <w:vAlign w:val="center"/>
          </w:tcPr>
          <w:p w14:paraId="72F266C0">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B234E3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537B6EF7">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426754E">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77BFA84">
            <w:pPr>
              <w:jc w:val="center"/>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03DE984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物资库存预警</w:t>
            </w:r>
          </w:p>
        </w:tc>
        <w:tc>
          <w:tcPr>
            <w:tcW w:w="3975" w:type="dxa"/>
            <w:tcBorders>
              <w:tl2br w:val="nil"/>
              <w:tr2bl w:val="nil"/>
            </w:tcBorders>
            <w:shd w:val="clear" w:color="auto" w:fill="auto"/>
            <w:vAlign w:val="center"/>
          </w:tcPr>
          <w:p w14:paraId="0ED913D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当物资库存低于预设阈值时，系统自动触发预警，提醒用户及时补充。</w:t>
            </w:r>
          </w:p>
        </w:tc>
        <w:tc>
          <w:tcPr>
            <w:tcW w:w="1420" w:type="dxa"/>
            <w:tcBorders>
              <w:tl2br w:val="nil"/>
              <w:tr2bl w:val="nil"/>
            </w:tcBorders>
            <w:shd w:val="clear" w:color="auto" w:fill="auto"/>
            <w:vAlign w:val="center"/>
          </w:tcPr>
          <w:p w14:paraId="68E7394C">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2AEC49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9E3992A">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B945998">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05C85A2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设备预警告警</w:t>
            </w:r>
          </w:p>
        </w:tc>
        <w:tc>
          <w:tcPr>
            <w:tcW w:w="1299" w:type="dxa"/>
            <w:tcBorders>
              <w:tl2br w:val="nil"/>
              <w:tr2bl w:val="nil"/>
            </w:tcBorders>
            <w:shd w:val="clear" w:color="auto" w:fill="auto"/>
            <w:vAlign w:val="center"/>
          </w:tcPr>
          <w:p w14:paraId="7831388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设备故障预警</w:t>
            </w:r>
          </w:p>
        </w:tc>
        <w:tc>
          <w:tcPr>
            <w:tcW w:w="3975" w:type="dxa"/>
            <w:tcBorders>
              <w:tl2br w:val="nil"/>
              <w:tr2bl w:val="nil"/>
            </w:tcBorders>
            <w:shd w:val="clear" w:color="auto" w:fill="auto"/>
            <w:vAlign w:val="center"/>
          </w:tcPr>
          <w:p w14:paraId="376E45A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通过实时监测设备运行状态，预测可能出现的故障，并提前发出预警。</w:t>
            </w:r>
          </w:p>
        </w:tc>
        <w:tc>
          <w:tcPr>
            <w:tcW w:w="1420" w:type="dxa"/>
            <w:tcBorders>
              <w:tl2br w:val="nil"/>
              <w:tr2bl w:val="nil"/>
            </w:tcBorders>
            <w:shd w:val="clear" w:color="auto" w:fill="auto"/>
            <w:vAlign w:val="center"/>
          </w:tcPr>
          <w:p w14:paraId="321677EA">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1697EA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41C1DB7">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ED98AA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6F4820F9">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1CEBE9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设备告警处理</w:t>
            </w:r>
          </w:p>
        </w:tc>
        <w:tc>
          <w:tcPr>
            <w:tcW w:w="3975" w:type="dxa"/>
            <w:tcBorders>
              <w:tl2br w:val="nil"/>
              <w:tr2bl w:val="nil"/>
            </w:tcBorders>
            <w:shd w:val="clear" w:color="auto" w:fill="auto"/>
            <w:vAlign w:val="center"/>
          </w:tcPr>
          <w:p w14:paraId="50CFF3E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设备出现故障时，系统自动触发告警，并引导用户进行故障排查和处理。</w:t>
            </w:r>
          </w:p>
        </w:tc>
        <w:tc>
          <w:tcPr>
            <w:tcW w:w="1420" w:type="dxa"/>
            <w:tcBorders>
              <w:tl2br w:val="nil"/>
              <w:tr2bl w:val="nil"/>
            </w:tcBorders>
            <w:shd w:val="clear" w:color="auto" w:fill="auto"/>
            <w:vAlign w:val="center"/>
          </w:tcPr>
          <w:p w14:paraId="3D097EBF">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9A9234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B297BB0">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5FAFBF2">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1CD9A21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事件管理</w:t>
            </w:r>
          </w:p>
        </w:tc>
        <w:tc>
          <w:tcPr>
            <w:tcW w:w="1299" w:type="dxa"/>
            <w:tcBorders>
              <w:tl2br w:val="nil"/>
              <w:tr2bl w:val="nil"/>
            </w:tcBorders>
            <w:shd w:val="clear" w:color="auto" w:fill="auto"/>
            <w:vAlign w:val="center"/>
          </w:tcPr>
          <w:p w14:paraId="14FFBAA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事件实时播报</w:t>
            </w:r>
          </w:p>
        </w:tc>
        <w:tc>
          <w:tcPr>
            <w:tcW w:w="3975" w:type="dxa"/>
            <w:tcBorders>
              <w:tl2br w:val="nil"/>
              <w:tr2bl w:val="nil"/>
            </w:tcBorders>
            <w:shd w:val="clear" w:color="auto" w:fill="auto"/>
            <w:vAlign w:val="center"/>
          </w:tcPr>
          <w:p w14:paraId="44D3385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实时播报泵站运行过程中的各类事件信息，并支持查看详情。</w:t>
            </w:r>
          </w:p>
        </w:tc>
        <w:tc>
          <w:tcPr>
            <w:tcW w:w="1420" w:type="dxa"/>
            <w:tcBorders>
              <w:tl2br w:val="nil"/>
              <w:tr2bl w:val="nil"/>
            </w:tcBorders>
            <w:shd w:val="clear" w:color="auto" w:fill="auto"/>
            <w:vAlign w:val="center"/>
          </w:tcPr>
          <w:p w14:paraId="6F1CA100">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63ACA2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1553AFF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005AD93">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4F6024F">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7F267A4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事件统计分析</w:t>
            </w:r>
          </w:p>
        </w:tc>
        <w:tc>
          <w:tcPr>
            <w:tcW w:w="3975" w:type="dxa"/>
            <w:tcBorders>
              <w:tl2br w:val="nil"/>
              <w:tr2bl w:val="nil"/>
            </w:tcBorders>
            <w:shd w:val="clear" w:color="auto" w:fill="auto"/>
            <w:vAlign w:val="center"/>
          </w:tcPr>
          <w:p w14:paraId="3239C82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对事件进行统计分析，为泵站运行管理提供决策支持。</w:t>
            </w:r>
          </w:p>
        </w:tc>
        <w:tc>
          <w:tcPr>
            <w:tcW w:w="1420" w:type="dxa"/>
            <w:tcBorders>
              <w:tl2br w:val="nil"/>
              <w:tr2bl w:val="nil"/>
            </w:tcBorders>
            <w:shd w:val="clear" w:color="auto" w:fill="auto"/>
            <w:vAlign w:val="center"/>
          </w:tcPr>
          <w:p w14:paraId="5E26CA71">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48B44A4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restart"/>
            <w:tcBorders>
              <w:tl2br w:val="nil"/>
              <w:tr2bl w:val="nil"/>
            </w:tcBorders>
            <w:shd w:val="clear" w:color="auto" w:fill="auto"/>
            <w:vAlign w:val="center"/>
          </w:tcPr>
          <w:p w14:paraId="3D23A9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664" w:type="dxa"/>
            <w:vMerge w:val="restart"/>
            <w:tcBorders>
              <w:tl2br w:val="nil"/>
              <w:tr2bl w:val="nil"/>
            </w:tcBorders>
            <w:shd w:val="clear" w:color="auto" w:fill="auto"/>
            <w:vAlign w:val="center"/>
          </w:tcPr>
          <w:p w14:paraId="1F8BA5C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泵站运营监控系统</w:t>
            </w:r>
          </w:p>
        </w:tc>
        <w:tc>
          <w:tcPr>
            <w:tcW w:w="1078" w:type="dxa"/>
            <w:vMerge w:val="restart"/>
            <w:tcBorders>
              <w:tl2br w:val="nil"/>
              <w:tr2bl w:val="nil"/>
            </w:tcBorders>
            <w:shd w:val="clear" w:color="auto" w:fill="auto"/>
            <w:vAlign w:val="center"/>
          </w:tcPr>
          <w:p w14:paraId="06C05BA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数据显屏模块</w:t>
            </w:r>
          </w:p>
        </w:tc>
        <w:tc>
          <w:tcPr>
            <w:tcW w:w="1299" w:type="dxa"/>
            <w:tcBorders>
              <w:tl2br w:val="nil"/>
              <w:tr2bl w:val="nil"/>
            </w:tcBorders>
            <w:shd w:val="clear" w:color="auto" w:fill="auto"/>
            <w:vAlign w:val="center"/>
          </w:tcPr>
          <w:p w14:paraId="149C420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数据展示</w:t>
            </w:r>
          </w:p>
        </w:tc>
        <w:tc>
          <w:tcPr>
            <w:tcW w:w="3975" w:type="dxa"/>
            <w:tcBorders>
              <w:tl2br w:val="nil"/>
              <w:tr2bl w:val="nil"/>
            </w:tcBorders>
            <w:shd w:val="clear" w:color="auto" w:fill="auto"/>
            <w:vAlign w:val="center"/>
          </w:tcPr>
          <w:p w14:paraId="0023D0E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实时展示泵机运行数据、能耗数据等关键信息。</w:t>
            </w:r>
          </w:p>
        </w:tc>
        <w:tc>
          <w:tcPr>
            <w:tcW w:w="1420" w:type="dxa"/>
            <w:tcBorders>
              <w:tl2br w:val="nil"/>
              <w:tr2bl w:val="nil"/>
            </w:tcBorders>
            <w:shd w:val="clear" w:color="auto" w:fill="auto"/>
            <w:vAlign w:val="center"/>
          </w:tcPr>
          <w:p w14:paraId="0D9033D8">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C52FE8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3993302">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011742F">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5D044865">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345E20D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数据比对</w:t>
            </w:r>
          </w:p>
        </w:tc>
        <w:tc>
          <w:tcPr>
            <w:tcW w:w="3975" w:type="dxa"/>
            <w:tcBorders>
              <w:tl2br w:val="nil"/>
              <w:tr2bl w:val="nil"/>
            </w:tcBorders>
            <w:shd w:val="clear" w:color="auto" w:fill="auto"/>
            <w:vAlign w:val="center"/>
          </w:tcPr>
          <w:p w14:paraId="057856E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支持今日与昨日的数据统计对比，便于管理人员快速了解泵站运行变化。</w:t>
            </w:r>
          </w:p>
        </w:tc>
        <w:tc>
          <w:tcPr>
            <w:tcW w:w="1420" w:type="dxa"/>
            <w:tcBorders>
              <w:tl2br w:val="nil"/>
              <w:tr2bl w:val="nil"/>
            </w:tcBorders>
            <w:shd w:val="clear" w:color="auto" w:fill="auto"/>
            <w:vAlign w:val="center"/>
          </w:tcPr>
          <w:p w14:paraId="6919808E">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36578E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2857755A">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2932F6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2234968C">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1F4F475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节能优化决策</w:t>
            </w:r>
          </w:p>
        </w:tc>
        <w:tc>
          <w:tcPr>
            <w:tcW w:w="3975" w:type="dxa"/>
            <w:tcBorders>
              <w:tl2br w:val="nil"/>
              <w:tr2bl w:val="nil"/>
            </w:tcBorders>
            <w:shd w:val="clear" w:color="auto" w:fill="auto"/>
            <w:vAlign w:val="center"/>
          </w:tcPr>
          <w:p w14:paraId="7A012A2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提供近一周的总能耗分析，为泵站节能优化提供依据。</w:t>
            </w:r>
          </w:p>
        </w:tc>
        <w:tc>
          <w:tcPr>
            <w:tcW w:w="1420" w:type="dxa"/>
            <w:tcBorders>
              <w:tl2br w:val="nil"/>
              <w:tr2bl w:val="nil"/>
            </w:tcBorders>
            <w:shd w:val="clear" w:color="auto" w:fill="auto"/>
            <w:vAlign w:val="center"/>
          </w:tcPr>
          <w:p w14:paraId="5DD3299A">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C29FA4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1B8A2EC9">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EF476E5">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63F093A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工情监测模块</w:t>
            </w:r>
          </w:p>
        </w:tc>
        <w:tc>
          <w:tcPr>
            <w:tcW w:w="1299" w:type="dxa"/>
            <w:tcBorders>
              <w:tl2br w:val="nil"/>
              <w:tr2bl w:val="nil"/>
            </w:tcBorders>
            <w:shd w:val="clear" w:color="auto" w:fill="auto"/>
            <w:vAlign w:val="center"/>
          </w:tcPr>
          <w:p w14:paraId="7CB5631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实时监测</w:t>
            </w:r>
          </w:p>
        </w:tc>
        <w:tc>
          <w:tcPr>
            <w:tcW w:w="3975" w:type="dxa"/>
            <w:tcBorders>
              <w:tl2br w:val="nil"/>
              <w:tr2bl w:val="nil"/>
            </w:tcBorders>
            <w:shd w:val="clear" w:color="auto" w:fill="auto"/>
            <w:vAlign w:val="center"/>
          </w:tcPr>
          <w:p w14:paraId="5A8E20F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实时监测泵机的电流、电压、温度等关键参数。</w:t>
            </w:r>
          </w:p>
        </w:tc>
        <w:tc>
          <w:tcPr>
            <w:tcW w:w="1420" w:type="dxa"/>
            <w:tcBorders>
              <w:tl2br w:val="nil"/>
              <w:tr2bl w:val="nil"/>
            </w:tcBorders>
            <w:shd w:val="clear" w:color="auto" w:fill="auto"/>
            <w:vAlign w:val="center"/>
          </w:tcPr>
          <w:p w14:paraId="13C072D4">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245EBB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5019CB83">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70F3263">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309CF19">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2C06378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事件预警</w:t>
            </w:r>
          </w:p>
        </w:tc>
        <w:tc>
          <w:tcPr>
            <w:tcW w:w="3975" w:type="dxa"/>
            <w:tcBorders>
              <w:tl2br w:val="nil"/>
              <w:tr2bl w:val="nil"/>
            </w:tcBorders>
            <w:shd w:val="clear" w:color="auto" w:fill="auto"/>
            <w:vAlign w:val="center"/>
          </w:tcPr>
          <w:p w14:paraId="5682FCE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发现缺相、欠压、过流、高温、渗漏等异常情况时，立即触发预警机制。</w:t>
            </w:r>
          </w:p>
        </w:tc>
        <w:tc>
          <w:tcPr>
            <w:tcW w:w="1420" w:type="dxa"/>
            <w:tcBorders>
              <w:tl2br w:val="nil"/>
              <w:tr2bl w:val="nil"/>
            </w:tcBorders>
            <w:shd w:val="clear" w:color="auto" w:fill="auto"/>
            <w:vAlign w:val="center"/>
          </w:tcPr>
          <w:p w14:paraId="600D3DA5">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124DCF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6C48BF0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9515330">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66888ED">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36ABCCD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数据报表</w:t>
            </w:r>
          </w:p>
        </w:tc>
        <w:tc>
          <w:tcPr>
            <w:tcW w:w="3975" w:type="dxa"/>
            <w:tcBorders>
              <w:tl2br w:val="nil"/>
              <w:tr2bl w:val="nil"/>
            </w:tcBorders>
            <w:shd w:val="clear" w:color="auto" w:fill="auto"/>
            <w:vAlign w:val="center"/>
          </w:tcPr>
          <w:p w14:paraId="4CB9B38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提供详细的工情数据记录和报表，方便后续分析和处理。</w:t>
            </w:r>
          </w:p>
        </w:tc>
        <w:tc>
          <w:tcPr>
            <w:tcW w:w="1420" w:type="dxa"/>
            <w:tcBorders>
              <w:tl2br w:val="nil"/>
              <w:tr2bl w:val="nil"/>
            </w:tcBorders>
            <w:shd w:val="clear" w:color="auto" w:fill="auto"/>
            <w:vAlign w:val="center"/>
          </w:tcPr>
          <w:p w14:paraId="700BDFB2">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A89EF3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72974653">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268428D">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31AB881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水位监测模块</w:t>
            </w:r>
          </w:p>
        </w:tc>
        <w:tc>
          <w:tcPr>
            <w:tcW w:w="1299" w:type="dxa"/>
            <w:tcBorders>
              <w:tl2br w:val="nil"/>
              <w:tr2bl w:val="nil"/>
            </w:tcBorders>
            <w:shd w:val="clear" w:color="auto" w:fill="auto"/>
            <w:vAlign w:val="center"/>
          </w:tcPr>
          <w:p w14:paraId="29C1E78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监测数据展示</w:t>
            </w:r>
          </w:p>
        </w:tc>
        <w:tc>
          <w:tcPr>
            <w:tcW w:w="3975" w:type="dxa"/>
            <w:tcBorders>
              <w:tl2br w:val="nil"/>
              <w:tr2bl w:val="nil"/>
            </w:tcBorders>
            <w:shd w:val="clear" w:color="auto" w:fill="auto"/>
            <w:vAlign w:val="center"/>
          </w:tcPr>
          <w:p w14:paraId="12732E1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实时采集并展示泵站水位数据、通道水位数据</w:t>
            </w:r>
            <w:r>
              <w:rPr>
                <w:rFonts w:hint="eastAsia" w:ascii="宋体" w:hAnsi="宋体" w:cs="宋体"/>
                <w:i w:val="0"/>
                <w:iCs w:val="0"/>
                <w:color w:val="000000"/>
                <w:kern w:val="0"/>
                <w:sz w:val="20"/>
                <w:szCs w:val="20"/>
                <w:highlight w:val="none"/>
                <w:u w:val="none"/>
                <w:lang w:val="en-US" w:eastAsia="zh-CN" w:bidi="ar"/>
              </w:rPr>
              <w:t>。</w:t>
            </w:r>
          </w:p>
        </w:tc>
        <w:tc>
          <w:tcPr>
            <w:tcW w:w="1420" w:type="dxa"/>
            <w:tcBorders>
              <w:tl2br w:val="nil"/>
              <w:tr2bl w:val="nil"/>
            </w:tcBorders>
            <w:shd w:val="clear" w:color="auto" w:fill="auto"/>
            <w:vAlign w:val="center"/>
          </w:tcPr>
          <w:p w14:paraId="30782F39">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5F75EC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63175C9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74EEFF48">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AECC3F3">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070ADDA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预警管理</w:t>
            </w:r>
          </w:p>
        </w:tc>
        <w:tc>
          <w:tcPr>
            <w:tcW w:w="3975" w:type="dxa"/>
            <w:tcBorders>
              <w:tl2br w:val="nil"/>
              <w:tr2bl w:val="nil"/>
            </w:tcBorders>
            <w:shd w:val="clear" w:color="auto" w:fill="auto"/>
            <w:vAlign w:val="center"/>
          </w:tcPr>
          <w:p w14:paraId="66596F1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当水位超过警戒线时，自动发出预警信息。</w:t>
            </w:r>
          </w:p>
        </w:tc>
        <w:tc>
          <w:tcPr>
            <w:tcW w:w="1420" w:type="dxa"/>
            <w:tcBorders>
              <w:tl2br w:val="nil"/>
              <w:tr2bl w:val="nil"/>
            </w:tcBorders>
            <w:shd w:val="clear" w:color="auto" w:fill="auto"/>
            <w:vAlign w:val="center"/>
          </w:tcPr>
          <w:p w14:paraId="70016A8F">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23FB9D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31C0412C">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73A36C6">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031AB995">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437A74A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智能排水</w:t>
            </w:r>
          </w:p>
        </w:tc>
        <w:tc>
          <w:tcPr>
            <w:tcW w:w="3975" w:type="dxa"/>
            <w:tcBorders>
              <w:tl2br w:val="nil"/>
              <w:tr2bl w:val="nil"/>
            </w:tcBorders>
            <w:shd w:val="clear" w:color="auto" w:fill="auto"/>
            <w:vAlign w:val="center"/>
          </w:tcPr>
          <w:p w14:paraId="146FA63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根据水位变化，自动调节泵机运行状态，确保排水功能正常。</w:t>
            </w:r>
          </w:p>
        </w:tc>
        <w:tc>
          <w:tcPr>
            <w:tcW w:w="1420" w:type="dxa"/>
            <w:tcBorders>
              <w:tl2br w:val="nil"/>
              <w:tr2bl w:val="nil"/>
            </w:tcBorders>
            <w:shd w:val="clear" w:color="auto" w:fill="auto"/>
            <w:vAlign w:val="center"/>
          </w:tcPr>
          <w:p w14:paraId="204B8DC0">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1896873">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CB49473">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68D96A3">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745FB3F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流量监测模块</w:t>
            </w:r>
          </w:p>
        </w:tc>
        <w:tc>
          <w:tcPr>
            <w:tcW w:w="1299" w:type="dxa"/>
            <w:tcBorders>
              <w:tl2br w:val="nil"/>
              <w:tr2bl w:val="nil"/>
            </w:tcBorders>
            <w:shd w:val="clear" w:color="auto" w:fill="auto"/>
            <w:vAlign w:val="center"/>
          </w:tcPr>
          <w:p w14:paraId="2C80E06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流量监测</w:t>
            </w:r>
          </w:p>
        </w:tc>
        <w:tc>
          <w:tcPr>
            <w:tcW w:w="3975" w:type="dxa"/>
            <w:tcBorders>
              <w:tl2br w:val="nil"/>
              <w:tr2bl w:val="nil"/>
            </w:tcBorders>
            <w:shd w:val="clear" w:color="auto" w:fill="auto"/>
            <w:vAlign w:val="center"/>
          </w:tcPr>
          <w:p w14:paraId="2FDD87A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实时采集泵站运行流量信息，实现瞬时流量和累计流量数据的展示。</w:t>
            </w:r>
          </w:p>
        </w:tc>
        <w:tc>
          <w:tcPr>
            <w:tcW w:w="1420" w:type="dxa"/>
            <w:tcBorders>
              <w:tl2br w:val="nil"/>
              <w:tr2bl w:val="nil"/>
            </w:tcBorders>
            <w:shd w:val="clear" w:color="auto" w:fill="auto"/>
            <w:vAlign w:val="center"/>
          </w:tcPr>
          <w:p w14:paraId="0DC2D605">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EA54CC3">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8EA195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E1D90DC">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55E6FAD">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47B3C9F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采集周期及阈值设置</w:t>
            </w:r>
          </w:p>
        </w:tc>
        <w:tc>
          <w:tcPr>
            <w:tcW w:w="3975" w:type="dxa"/>
            <w:tcBorders>
              <w:tl2br w:val="nil"/>
              <w:tr2bl w:val="nil"/>
            </w:tcBorders>
            <w:shd w:val="clear" w:color="auto" w:fill="auto"/>
            <w:vAlign w:val="center"/>
          </w:tcPr>
          <w:p w14:paraId="20ED905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支持自定义设定流量采集周期和阈值，满足不同泵站的需求。</w:t>
            </w:r>
          </w:p>
        </w:tc>
        <w:tc>
          <w:tcPr>
            <w:tcW w:w="1420" w:type="dxa"/>
            <w:tcBorders>
              <w:tl2br w:val="nil"/>
              <w:tr2bl w:val="nil"/>
            </w:tcBorders>
            <w:shd w:val="clear" w:color="auto" w:fill="auto"/>
            <w:vAlign w:val="center"/>
          </w:tcPr>
          <w:p w14:paraId="14E2CC2A">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F287C3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0EBB9C7D">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7B653169">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086C924">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0090807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预警管理</w:t>
            </w:r>
          </w:p>
        </w:tc>
        <w:tc>
          <w:tcPr>
            <w:tcW w:w="3975" w:type="dxa"/>
            <w:tcBorders>
              <w:tl2br w:val="nil"/>
              <w:tr2bl w:val="nil"/>
            </w:tcBorders>
            <w:shd w:val="clear" w:color="auto" w:fill="auto"/>
            <w:vAlign w:val="center"/>
          </w:tcPr>
          <w:p w14:paraId="4589E24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当流量超过设定阈值时，流量监测模块会自动触发预警机制，提醒管理人员及时调整运行策略。</w:t>
            </w:r>
          </w:p>
        </w:tc>
        <w:tc>
          <w:tcPr>
            <w:tcW w:w="1420" w:type="dxa"/>
            <w:tcBorders>
              <w:tl2br w:val="nil"/>
              <w:tr2bl w:val="nil"/>
            </w:tcBorders>
            <w:shd w:val="clear" w:color="auto" w:fill="auto"/>
            <w:vAlign w:val="center"/>
          </w:tcPr>
          <w:p w14:paraId="1D31EFD7">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9D040E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33AE2F80">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EFC5F67">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189EFA5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供电监测模块</w:t>
            </w:r>
          </w:p>
        </w:tc>
        <w:tc>
          <w:tcPr>
            <w:tcW w:w="1299" w:type="dxa"/>
            <w:tcBorders>
              <w:tl2br w:val="nil"/>
              <w:tr2bl w:val="nil"/>
            </w:tcBorders>
            <w:shd w:val="clear" w:color="auto" w:fill="auto"/>
            <w:vAlign w:val="center"/>
          </w:tcPr>
          <w:p w14:paraId="6C5286F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实时监测</w:t>
            </w:r>
          </w:p>
        </w:tc>
        <w:tc>
          <w:tcPr>
            <w:tcW w:w="3975" w:type="dxa"/>
            <w:tcBorders>
              <w:tl2br w:val="nil"/>
              <w:tr2bl w:val="nil"/>
            </w:tcBorders>
            <w:shd w:val="clear" w:color="auto" w:fill="auto"/>
            <w:vAlign w:val="center"/>
          </w:tcPr>
          <w:p w14:paraId="3F1918C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实时监测电能质量，包括电压、电流等关键参数。</w:t>
            </w:r>
          </w:p>
        </w:tc>
        <w:tc>
          <w:tcPr>
            <w:tcW w:w="1420" w:type="dxa"/>
            <w:tcBorders>
              <w:tl2br w:val="nil"/>
              <w:tr2bl w:val="nil"/>
            </w:tcBorders>
            <w:shd w:val="clear" w:color="auto" w:fill="auto"/>
            <w:vAlign w:val="center"/>
          </w:tcPr>
          <w:p w14:paraId="10FB9DA0">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ED4DFA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1E016563">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2C35499">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660862A">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74640EB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智能预警</w:t>
            </w:r>
          </w:p>
        </w:tc>
        <w:tc>
          <w:tcPr>
            <w:tcW w:w="3975" w:type="dxa"/>
            <w:tcBorders>
              <w:tl2br w:val="nil"/>
              <w:tr2bl w:val="nil"/>
            </w:tcBorders>
            <w:shd w:val="clear" w:color="auto" w:fill="auto"/>
            <w:vAlign w:val="center"/>
          </w:tcPr>
          <w:p w14:paraId="32EBECE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监测配电柜的跳闸、停电等异常情况，并自动发出预警。</w:t>
            </w:r>
          </w:p>
        </w:tc>
        <w:tc>
          <w:tcPr>
            <w:tcW w:w="1420" w:type="dxa"/>
            <w:tcBorders>
              <w:tl2br w:val="nil"/>
              <w:tr2bl w:val="nil"/>
            </w:tcBorders>
            <w:shd w:val="clear" w:color="auto" w:fill="auto"/>
            <w:vAlign w:val="center"/>
          </w:tcPr>
          <w:p w14:paraId="0A14FE9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557B86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204DCF7">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CBA9E69">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2D69169">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28B27C5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数据分析</w:t>
            </w:r>
          </w:p>
        </w:tc>
        <w:tc>
          <w:tcPr>
            <w:tcW w:w="3975" w:type="dxa"/>
            <w:tcBorders>
              <w:tl2br w:val="nil"/>
              <w:tr2bl w:val="nil"/>
            </w:tcBorders>
            <w:shd w:val="clear" w:color="auto" w:fill="auto"/>
            <w:vAlign w:val="center"/>
          </w:tcPr>
          <w:p w14:paraId="1A171B6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提供历史数据查询和趋势分析功能，帮助管理人员了解供电系统的运行状况。</w:t>
            </w:r>
          </w:p>
        </w:tc>
        <w:tc>
          <w:tcPr>
            <w:tcW w:w="1420" w:type="dxa"/>
            <w:tcBorders>
              <w:tl2br w:val="nil"/>
              <w:tr2bl w:val="nil"/>
            </w:tcBorders>
            <w:shd w:val="clear" w:color="auto" w:fill="auto"/>
            <w:vAlign w:val="center"/>
          </w:tcPr>
          <w:p w14:paraId="0C47C311">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FCFF68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060DE6C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50A6CB6">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66434DE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视频AI分析</w:t>
            </w:r>
          </w:p>
        </w:tc>
        <w:tc>
          <w:tcPr>
            <w:tcW w:w="1299" w:type="dxa"/>
            <w:tcBorders>
              <w:tl2br w:val="nil"/>
              <w:tr2bl w:val="nil"/>
            </w:tcBorders>
            <w:shd w:val="clear" w:color="auto" w:fill="auto"/>
            <w:vAlign w:val="center"/>
          </w:tcPr>
          <w:p w14:paraId="589E80E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视频接入及分析</w:t>
            </w:r>
          </w:p>
        </w:tc>
        <w:tc>
          <w:tcPr>
            <w:tcW w:w="3975" w:type="dxa"/>
            <w:tcBorders>
              <w:tl2br w:val="nil"/>
              <w:tr2bl w:val="nil"/>
            </w:tcBorders>
            <w:shd w:val="clear" w:color="auto" w:fill="auto"/>
            <w:vAlign w:val="center"/>
          </w:tcPr>
          <w:p w14:paraId="194B974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接入泵站视频监控系统，利用AI算法对视频图像进行实时分析。</w:t>
            </w:r>
          </w:p>
        </w:tc>
        <w:tc>
          <w:tcPr>
            <w:tcW w:w="1420" w:type="dxa"/>
            <w:tcBorders>
              <w:tl2br w:val="nil"/>
              <w:tr2bl w:val="nil"/>
            </w:tcBorders>
            <w:shd w:val="clear" w:color="auto" w:fill="auto"/>
            <w:vAlign w:val="center"/>
          </w:tcPr>
          <w:p w14:paraId="0B2FD20A">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F80BD0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2AB5505E">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1F8AF2B">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29AD1E30">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E992E0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智能预警算法</w:t>
            </w:r>
          </w:p>
        </w:tc>
        <w:tc>
          <w:tcPr>
            <w:tcW w:w="3975" w:type="dxa"/>
            <w:tcBorders>
              <w:tl2br w:val="nil"/>
              <w:tr2bl w:val="nil"/>
            </w:tcBorders>
            <w:shd w:val="clear" w:color="auto" w:fill="auto"/>
            <w:vAlign w:val="center"/>
          </w:tcPr>
          <w:p w14:paraId="1321095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实现人员非法闯入、防火预警AI算法功能，确保泵站安全。</w:t>
            </w:r>
          </w:p>
        </w:tc>
        <w:tc>
          <w:tcPr>
            <w:tcW w:w="1420" w:type="dxa"/>
            <w:tcBorders>
              <w:tl2br w:val="nil"/>
              <w:tr2bl w:val="nil"/>
            </w:tcBorders>
            <w:shd w:val="clear" w:color="auto" w:fill="auto"/>
            <w:vAlign w:val="center"/>
          </w:tcPr>
          <w:p w14:paraId="79754837">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08535B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259A43D1">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F4AA1B3">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C7C9A52">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57D3A8D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功能集成</w:t>
            </w:r>
          </w:p>
        </w:tc>
        <w:tc>
          <w:tcPr>
            <w:tcW w:w="3975" w:type="dxa"/>
            <w:tcBorders>
              <w:tl2br w:val="nil"/>
              <w:tr2bl w:val="nil"/>
            </w:tcBorders>
            <w:shd w:val="clear" w:color="auto" w:fill="auto"/>
            <w:vAlign w:val="center"/>
          </w:tcPr>
          <w:p w14:paraId="3941314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与其他功能模块结合，提高泵站的综合管理水平。</w:t>
            </w:r>
          </w:p>
        </w:tc>
        <w:tc>
          <w:tcPr>
            <w:tcW w:w="1420" w:type="dxa"/>
            <w:tcBorders>
              <w:tl2br w:val="nil"/>
              <w:tr2bl w:val="nil"/>
            </w:tcBorders>
            <w:shd w:val="clear" w:color="auto" w:fill="auto"/>
            <w:vAlign w:val="center"/>
          </w:tcPr>
          <w:p w14:paraId="00A189D1">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478D031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5B7A747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25F2857">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698F0CB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无人值守控制</w:t>
            </w:r>
          </w:p>
        </w:tc>
        <w:tc>
          <w:tcPr>
            <w:tcW w:w="1299" w:type="dxa"/>
            <w:tcBorders>
              <w:tl2br w:val="nil"/>
              <w:tr2bl w:val="nil"/>
            </w:tcBorders>
            <w:shd w:val="clear" w:color="auto" w:fill="auto"/>
            <w:vAlign w:val="center"/>
          </w:tcPr>
          <w:p w14:paraId="76CA75F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物联设备对接</w:t>
            </w:r>
          </w:p>
        </w:tc>
        <w:tc>
          <w:tcPr>
            <w:tcW w:w="3975" w:type="dxa"/>
            <w:tcBorders>
              <w:tl2br w:val="nil"/>
              <w:tr2bl w:val="nil"/>
            </w:tcBorders>
            <w:shd w:val="clear" w:color="auto" w:fill="auto"/>
            <w:vAlign w:val="center"/>
          </w:tcPr>
          <w:p w14:paraId="3DE8E72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实现对应的泵机、阀门等物联网设备的对接功能，实时查看设备状态。</w:t>
            </w:r>
          </w:p>
        </w:tc>
        <w:tc>
          <w:tcPr>
            <w:tcW w:w="1420" w:type="dxa"/>
            <w:tcBorders>
              <w:tl2br w:val="nil"/>
              <w:tr2bl w:val="nil"/>
            </w:tcBorders>
            <w:shd w:val="clear" w:color="auto" w:fill="auto"/>
            <w:vAlign w:val="center"/>
          </w:tcPr>
          <w:p w14:paraId="066C347A">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499B994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3C50390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582A4B0">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3E57ED28">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536D31D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远程操控</w:t>
            </w:r>
          </w:p>
        </w:tc>
        <w:tc>
          <w:tcPr>
            <w:tcW w:w="3975" w:type="dxa"/>
            <w:tcBorders>
              <w:tl2br w:val="nil"/>
              <w:tr2bl w:val="nil"/>
            </w:tcBorders>
            <w:shd w:val="clear" w:color="auto" w:fill="auto"/>
            <w:vAlign w:val="center"/>
          </w:tcPr>
          <w:p w14:paraId="0245F91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支持设备的远程启停、远程调参等无人值守操作。</w:t>
            </w:r>
          </w:p>
        </w:tc>
        <w:tc>
          <w:tcPr>
            <w:tcW w:w="1420" w:type="dxa"/>
            <w:tcBorders>
              <w:tl2br w:val="nil"/>
              <w:tr2bl w:val="nil"/>
            </w:tcBorders>
            <w:shd w:val="clear" w:color="auto" w:fill="auto"/>
            <w:vAlign w:val="center"/>
          </w:tcPr>
          <w:p w14:paraId="5B2FF86A">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8AD092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57020D82">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8EA0C2E">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9DD168E">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1A7C1F2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任务设置及智能化控制</w:t>
            </w:r>
          </w:p>
        </w:tc>
        <w:tc>
          <w:tcPr>
            <w:tcW w:w="3975" w:type="dxa"/>
            <w:tcBorders>
              <w:tl2br w:val="nil"/>
              <w:tr2bl w:val="nil"/>
            </w:tcBorders>
            <w:shd w:val="clear" w:color="auto" w:fill="auto"/>
            <w:vAlign w:val="center"/>
          </w:tcPr>
          <w:p w14:paraId="33DB4A4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支持定时任务设定和自动化控制功能，根据泵站运行需求自动调整设备运行状态。</w:t>
            </w:r>
          </w:p>
        </w:tc>
        <w:tc>
          <w:tcPr>
            <w:tcW w:w="1420" w:type="dxa"/>
            <w:tcBorders>
              <w:tl2br w:val="nil"/>
              <w:tr2bl w:val="nil"/>
            </w:tcBorders>
            <w:shd w:val="clear" w:color="auto" w:fill="auto"/>
            <w:vAlign w:val="center"/>
          </w:tcPr>
          <w:p w14:paraId="7BA41AA4">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B1BCB4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169CBCAC">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42D82AC">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6C32934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可视化管理模块</w:t>
            </w:r>
          </w:p>
        </w:tc>
        <w:tc>
          <w:tcPr>
            <w:tcW w:w="1299" w:type="dxa"/>
            <w:tcBorders>
              <w:tl2br w:val="nil"/>
              <w:tr2bl w:val="nil"/>
            </w:tcBorders>
            <w:shd w:val="clear" w:color="auto" w:fill="auto"/>
            <w:vAlign w:val="center"/>
          </w:tcPr>
          <w:p w14:paraId="75B3E61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泵站三维展示</w:t>
            </w:r>
          </w:p>
        </w:tc>
        <w:tc>
          <w:tcPr>
            <w:tcW w:w="3975" w:type="dxa"/>
            <w:tcBorders>
              <w:tl2br w:val="nil"/>
              <w:tr2bl w:val="nil"/>
            </w:tcBorders>
            <w:shd w:val="clear" w:color="auto" w:fill="auto"/>
            <w:vAlign w:val="center"/>
          </w:tcPr>
          <w:p w14:paraId="7995A55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利用三维可视化技术展示泵站的整体布局、设备分布及运行状态。（本项目选取云南路泵房）</w:t>
            </w:r>
          </w:p>
        </w:tc>
        <w:tc>
          <w:tcPr>
            <w:tcW w:w="1420" w:type="dxa"/>
            <w:tcBorders>
              <w:tl2br w:val="nil"/>
              <w:tr2bl w:val="nil"/>
            </w:tcBorders>
            <w:shd w:val="clear" w:color="auto" w:fill="auto"/>
            <w:vAlign w:val="center"/>
          </w:tcPr>
          <w:p w14:paraId="5635E80B">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5FAD60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1F38A99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6BAD249">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2D7A4B5">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57CF574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数据图表联动展示</w:t>
            </w:r>
          </w:p>
        </w:tc>
        <w:tc>
          <w:tcPr>
            <w:tcW w:w="3975" w:type="dxa"/>
            <w:tcBorders>
              <w:tl2br w:val="nil"/>
              <w:tr2bl w:val="nil"/>
            </w:tcBorders>
            <w:shd w:val="clear" w:color="auto" w:fill="auto"/>
            <w:vAlign w:val="center"/>
          </w:tcPr>
          <w:p w14:paraId="7AA3CB2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提供直观的数据可视化展示，如实时数据图表、动态趋势图等，帮助管理人员快速了解泵站运行状况。</w:t>
            </w:r>
          </w:p>
        </w:tc>
        <w:tc>
          <w:tcPr>
            <w:tcW w:w="1420" w:type="dxa"/>
            <w:tcBorders>
              <w:tl2br w:val="nil"/>
              <w:tr2bl w:val="nil"/>
            </w:tcBorders>
            <w:shd w:val="clear" w:color="auto" w:fill="auto"/>
            <w:vAlign w:val="center"/>
          </w:tcPr>
          <w:p w14:paraId="0BABABB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4C2E46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C068240">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17C6412">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7C5D685">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D00A7F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三维交互操作</w:t>
            </w:r>
          </w:p>
        </w:tc>
        <w:tc>
          <w:tcPr>
            <w:tcW w:w="3975" w:type="dxa"/>
            <w:tcBorders>
              <w:tl2br w:val="nil"/>
              <w:tr2bl w:val="nil"/>
            </w:tcBorders>
            <w:shd w:val="clear" w:color="auto" w:fill="auto"/>
            <w:vAlign w:val="center"/>
          </w:tcPr>
          <w:p w14:paraId="2F1F22D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支持交互式操作，管理人员可通过鼠标或触摸屏进行缩放、旋转等操作，从多个角度观察泵站运行情况。</w:t>
            </w:r>
          </w:p>
        </w:tc>
        <w:tc>
          <w:tcPr>
            <w:tcW w:w="1420" w:type="dxa"/>
            <w:tcBorders>
              <w:tl2br w:val="nil"/>
              <w:tr2bl w:val="nil"/>
            </w:tcBorders>
            <w:shd w:val="clear" w:color="auto" w:fill="auto"/>
            <w:vAlign w:val="center"/>
          </w:tcPr>
          <w:p w14:paraId="70317F97">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406931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3368947A">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7DF9455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635531B1">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4EE546B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功能集成</w:t>
            </w:r>
          </w:p>
        </w:tc>
        <w:tc>
          <w:tcPr>
            <w:tcW w:w="3975" w:type="dxa"/>
            <w:tcBorders>
              <w:tl2br w:val="nil"/>
              <w:tr2bl w:val="nil"/>
            </w:tcBorders>
            <w:shd w:val="clear" w:color="auto" w:fill="auto"/>
            <w:vAlign w:val="center"/>
          </w:tcPr>
          <w:p w14:paraId="31D6333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可视化管理模块与其他功能模块紧密集成，实现数据共享和交互，提高泵站综合管理水平。</w:t>
            </w:r>
          </w:p>
        </w:tc>
        <w:tc>
          <w:tcPr>
            <w:tcW w:w="1420" w:type="dxa"/>
            <w:tcBorders>
              <w:tl2br w:val="nil"/>
              <w:tr2bl w:val="nil"/>
            </w:tcBorders>
            <w:shd w:val="clear" w:color="auto" w:fill="auto"/>
            <w:vAlign w:val="center"/>
          </w:tcPr>
          <w:p w14:paraId="643668AE">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3697CD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restart"/>
            <w:tcBorders>
              <w:tl2br w:val="nil"/>
              <w:tr2bl w:val="nil"/>
            </w:tcBorders>
            <w:shd w:val="clear" w:color="auto" w:fill="auto"/>
            <w:vAlign w:val="center"/>
          </w:tcPr>
          <w:p w14:paraId="50B5CF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664" w:type="dxa"/>
            <w:vMerge w:val="restart"/>
            <w:tcBorders>
              <w:tl2br w:val="nil"/>
              <w:tr2bl w:val="nil"/>
            </w:tcBorders>
            <w:shd w:val="clear" w:color="auto" w:fill="auto"/>
            <w:vAlign w:val="center"/>
          </w:tcPr>
          <w:p w14:paraId="4ABD1F6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视频指挥调度系统</w:t>
            </w:r>
          </w:p>
        </w:tc>
        <w:tc>
          <w:tcPr>
            <w:tcW w:w="1078" w:type="dxa"/>
            <w:vMerge w:val="restart"/>
            <w:tcBorders>
              <w:tl2br w:val="nil"/>
              <w:tr2bl w:val="nil"/>
            </w:tcBorders>
            <w:shd w:val="clear" w:color="auto" w:fill="auto"/>
            <w:vAlign w:val="center"/>
          </w:tcPr>
          <w:p w14:paraId="6E5184A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调度指令发布</w:t>
            </w:r>
          </w:p>
        </w:tc>
        <w:tc>
          <w:tcPr>
            <w:tcW w:w="1299" w:type="dxa"/>
            <w:tcBorders>
              <w:tl2br w:val="nil"/>
              <w:tr2bl w:val="nil"/>
            </w:tcBorders>
            <w:shd w:val="clear" w:color="auto" w:fill="auto"/>
            <w:vAlign w:val="center"/>
          </w:tcPr>
          <w:p w14:paraId="099A89B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指令发送</w:t>
            </w:r>
          </w:p>
        </w:tc>
        <w:tc>
          <w:tcPr>
            <w:tcW w:w="3975" w:type="dxa"/>
            <w:tcBorders>
              <w:tl2br w:val="nil"/>
              <w:tr2bl w:val="nil"/>
            </w:tcBorders>
            <w:shd w:val="clear" w:color="auto" w:fill="auto"/>
            <w:vAlign w:val="center"/>
          </w:tcPr>
          <w:p w14:paraId="09C2053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可以在系统中针对泵站异常事件信息，实现在事件列表发布实时调度指令信息，可以发送到手机移动端。</w:t>
            </w:r>
          </w:p>
        </w:tc>
        <w:tc>
          <w:tcPr>
            <w:tcW w:w="1420" w:type="dxa"/>
            <w:tcBorders>
              <w:tl2br w:val="nil"/>
              <w:tr2bl w:val="nil"/>
            </w:tcBorders>
            <w:shd w:val="clear" w:color="auto" w:fill="auto"/>
            <w:vAlign w:val="center"/>
          </w:tcPr>
          <w:p w14:paraId="2599735B">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F343D1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143A36E7">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3B349E4">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8B4DA20">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4D40E9B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现场就位确认</w:t>
            </w:r>
          </w:p>
        </w:tc>
        <w:tc>
          <w:tcPr>
            <w:tcW w:w="3975" w:type="dxa"/>
            <w:tcBorders>
              <w:tl2br w:val="nil"/>
              <w:tr2bl w:val="nil"/>
            </w:tcBorders>
            <w:shd w:val="clear" w:color="auto" w:fill="auto"/>
            <w:vAlign w:val="center"/>
          </w:tcPr>
          <w:p w14:paraId="50348C6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人员到达现场后，实现扫现场二维码和实时定位打卡的方式，中心桌面端会接收到相关确认信息，会对到场情况确认和接收。</w:t>
            </w:r>
          </w:p>
        </w:tc>
        <w:tc>
          <w:tcPr>
            <w:tcW w:w="1420" w:type="dxa"/>
            <w:tcBorders>
              <w:tl2br w:val="nil"/>
              <w:tr2bl w:val="nil"/>
            </w:tcBorders>
            <w:shd w:val="clear" w:color="auto" w:fill="auto"/>
            <w:vAlign w:val="center"/>
          </w:tcPr>
          <w:p w14:paraId="5B01C32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567DEE2">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6D071551">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E617A97">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090B8CF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远程视频联动</w:t>
            </w:r>
          </w:p>
        </w:tc>
        <w:tc>
          <w:tcPr>
            <w:tcW w:w="1299" w:type="dxa"/>
            <w:tcBorders>
              <w:tl2br w:val="nil"/>
              <w:tr2bl w:val="nil"/>
            </w:tcBorders>
            <w:shd w:val="clear" w:color="auto" w:fill="auto"/>
            <w:vAlign w:val="center"/>
          </w:tcPr>
          <w:p w14:paraId="47132F4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远程组会</w:t>
            </w:r>
          </w:p>
        </w:tc>
        <w:tc>
          <w:tcPr>
            <w:tcW w:w="3975" w:type="dxa"/>
            <w:tcBorders>
              <w:tl2br w:val="nil"/>
              <w:tr2bl w:val="nil"/>
            </w:tcBorders>
            <w:shd w:val="clear" w:color="auto" w:fill="auto"/>
            <w:vAlign w:val="center"/>
          </w:tcPr>
          <w:p w14:paraId="1BBF809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基于前端处置人员，可以远程启动相关的视频会议功能，中心平台可以自主组会、中断会议等功能。借用市城运相关能力或者调用外部互联网会议功能。</w:t>
            </w:r>
          </w:p>
        </w:tc>
        <w:tc>
          <w:tcPr>
            <w:tcW w:w="1420" w:type="dxa"/>
            <w:tcBorders>
              <w:tl2br w:val="nil"/>
              <w:tr2bl w:val="nil"/>
            </w:tcBorders>
            <w:shd w:val="clear" w:color="auto" w:fill="auto"/>
            <w:vAlign w:val="center"/>
          </w:tcPr>
          <w:p w14:paraId="4E801EFE">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11B54D3">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10BFE3F7">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74276E5A">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60BFD94">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2C1CCAF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视频查看</w:t>
            </w:r>
          </w:p>
        </w:tc>
        <w:tc>
          <w:tcPr>
            <w:tcW w:w="3975" w:type="dxa"/>
            <w:tcBorders>
              <w:tl2br w:val="nil"/>
              <w:tr2bl w:val="nil"/>
            </w:tcBorders>
            <w:shd w:val="clear" w:color="auto" w:fill="auto"/>
            <w:vAlign w:val="center"/>
          </w:tcPr>
          <w:p w14:paraId="191DD8F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可以远程联动视频摄像头，可以实时查看前端现场进展信息。</w:t>
            </w:r>
          </w:p>
        </w:tc>
        <w:tc>
          <w:tcPr>
            <w:tcW w:w="1420" w:type="dxa"/>
            <w:tcBorders>
              <w:tl2br w:val="nil"/>
              <w:tr2bl w:val="nil"/>
            </w:tcBorders>
            <w:shd w:val="clear" w:color="auto" w:fill="auto"/>
            <w:vAlign w:val="center"/>
          </w:tcPr>
          <w:p w14:paraId="670B44E3">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6B2016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773D0715">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DA27DE4">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5B6447A8">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45EF0DD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语音对讲</w:t>
            </w:r>
          </w:p>
        </w:tc>
        <w:tc>
          <w:tcPr>
            <w:tcW w:w="3975" w:type="dxa"/>
            <w:tcBorders>
              <w:tl2br w:val="nil"/>
              <w:tr2bl w:val="nil"/>
            </w:tcBorders>
            <w:shd w:val="clear" w:color="auto" w:fill="auto"/>
            <w:vAlign w:val="center"/>
          </w:tcPr>
          <w:p w14:paraId="72D5698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可以实现远程通话功能，辅助指令的上传和下达。</w:t>
            </w:r>
          </w:p>
        </w:tc>
        <w:tc>
          <w:tcPr>
            <w:tcW w:w="1420" w:type="dxa"/>
            <w:tcBorders>
              <w:tl2br w:val="nil"/>
              <w:tr2bl w:val="nil"/>
            </w:tcBorders>
            <w:shd w:val="clear" w:color="auto" w:fill="auto"/>
            <w:vAlign w:val="center"/>
          </w:tcPr>
          <w:p w14:paraId="7FD68E1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F63BFD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restart"/>
            <w:tcBorders>
              <w:tl2br w:val="nil"/>
              <w:tr2bl w:val="nil"/>
            </w:tcBorders>
            <w:shd w:val="clear" w:color="auto" w:fill="auto"/>
            <w:vAlign w:val="center"/>
          </w:tcPr>
          <w:p w14:paraId="25B6B2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664" w:type="dxa"/>
            <w:vMerge w:val="restart"/>
            <w:tcBorders>
              <w:tl2br w:val="nil"/>
              <w:tr2bl w:val="nil"/>
            </w:tcBorders>
            <w:shd w:val="clear" w:color="auto" w:fill="auto"/>
            <w:vAlign w:val="center"/>
          </w:tcPr>
          <w:p w14:paraId="382F93A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决策支持及运维评价系统</w:t>
            </w:r>
          </w:p>
        </w:tc>
        <w:tc>
          <w:tcPr>
            <w:tcW w:w="1078" w:type="dxa"/>
            <w:vMerge w:val="restart"/>
            <w:tcBorders>
              <w:tl2br w:val="nil"/>
              <w:tr2bl w:val="nil"/>
            </w:tcBorders>
            <w:shd w:val="clear" w:color="auto" w:fill="auto"/>
            <w:vAlign w:val="center"/>
          </w:tcPr>
          <w:p w14:paraId="13EA863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泵房巡检</w:t>
            </w:r>
          </w:p>
        </w:tc>
        <w:tc>
          <w:tcPr>
            <w:tcW w:w="1299" w:type="dxa"/>
            <w:tcBorders>
              <w:tl2br w:val="nil"/>
              <w:tr2bl w:val="nil"/>
            </w:tcBorders>
            <w:shd w:val="clear" w:color="auto" w:fill="auto"/>
            <w:vAlign w:val="center"/>
          </w:tcPr>
          <w:p w14:paraId="6BD5AEE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泵房日常巡检</w:t>
            </w:r>
          </w:p>
        </w:tc>
        <w:tc>
          <w:tcPr>
            <w:tcW w:w="3975" w:type="dxa"/>
            <w:tcBorders>
              <w:tl2br w:val="nil"/>
              <w:tr2bl w:val="nil"/>
            </w:tcBorders>
            <w:shd w:val="clear" w:color="auto" w:fill="auto"/>
            <w:vAlign w:val="center"/>
          </w:tcPr>
          <w:p w14:paraId="38E0F5F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支持在系统平台实现下发日常巡检任务信息，可以下发巡检任务内容包括巡检区域、巡检泵站信息等。</w:t>
            </w:r>
          </w:p>
        </w:tc>
        <w:tc>
          <w:tcPr>
            <w:tcW w:w="1420" w:type="dxa"/>
            <w:tcBorders>
              <w:tl2br w:val="nil"/>
              <w:tr2bl w:val="nil"/>
            </w:tcBorders>
            <w:shd w:val="clear" w:color="auto" w:fill="auto"/>
            <w:vAlign w:val="center"/>
          </w:tcPr>
          <w:p w14:paraId="45CF1711">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972A19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38CD61AC">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DE903BF">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398DDBF4">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3CCEE32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巡检记录查询</w:t>
            </w:r>
          </w:p>
        </w:tc>
        <w:tc>
          <w:tcPr>
            <w:tcW w:w="3975" w:type="dxa"/>
            <w:tcBorders>
              <w:tl2br w:val="nil"/>
              <w:tr2bl w:val="nil"/>
            </w:tcBorders>
            <w:shd w:val="clear" w:color="auto" w:fill="auto"/>
            <w:vAlign w:val="center"/>
          </w:tcPr>
          <w:p w14:paraId="2AF6698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可以在系统平台上查看前端的设备状态信息，支持对于巡检异常记录的查看。</w:t>
            </w:r>
          </w:p>
        </w:tc>
        <w:tc>
          <w:tcPr>
            <w:tcW w:w="1420" w:type="dxa"/>
            <w:tcBorders>
              <w:tl2br w:val="nil"/>
              <w:tr2bl w:val="nil"/>
            </w:tcBorders>
            <w:shd w:val="clear" w:color="auto" w:fill="auto"/>
            <w:vAlign w:val="center"/>
          </w:tcPr>
          <w:p w14:paraId="75EFD4B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6EA171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993C0B9">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93168E5">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53EA8E8C">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39C3832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设备运行台账</w:t>
            </w:r>
          </w:p>
        </w:tc>
        <w:tc>
          <w:tcPr>
            <w:tcW w:w="3975" w:type="dxa"/>
            <w:tcBorders>
              <w:tl2br w:val="nil"/>
              <w:tr2bl w:val="nil"/>
            </w:tcBorders>
            <w:shd w:val="clear" w:color="auto" w:fill="auto"/>
            <w:vAlign w:val="center"/>
          </w:tcPr>
          <w:p w14:paraId="30F6230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对于巡检异常情况进行统计分析。</w:t>
            </w:r>
          </w:p>
        </w:tc>
        <w:tc>
          <w:tcPr>
            <w:tcW w:w="1420" w:type="dxa"/>
            <w:tcBorders>
              <w:tl2br w:val="nil"/>
              <w:tr2bl w:val="nil"/>
            </w:tcBorders>
            <w:shd w:val="clear" w:color="auto" w:fill="auto"/>
            <w:vAlign w:val="center"/>
          </w:tcPr>
          <w:p w14:paraId="6886B1E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B4B141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77F0F23D">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5A4539C">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3E18A4D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泵房保养</w:t>
            </w:r>
          </w:p>
        </w:tc>
        <w:tc>
          <w:tcPr>
            <w:tcW w:w="1299" w:type="dxa"/>
            <w:tcBorders>
              <w:tl2br w:val="nil"/>
              <w:tr2bl w:val="nil"/>
            </w:tcBorders>
            <w:shd w:val="clear" w:color="auto" w:fill="auto"/>
            <w:vAlign w:val="center"/>
          </w:tcPr>
          <w:p w14:paraId="02FC469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保养计划</w:t>
            </w:r>
          </w:p>
        </w:tc>
        <w:tc>
          <w:tcPr>
            <w:tcW w:w="3975" w:type="dxa"/>
            <w:tcBorders>
              <w:tl2br w:val="nil"/>
              <w:tr2bl w:val="nil"/>
            </w:tcBorders>
            <w:shd w:val="clear" w:color="auto" w:fill="auto"/>
            <w:vAlign w:val="center"/>
          </w:tcPr>
          <w:p w14:paraId="407F98E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在系统平台上实时制定设备的保养计划信息。</w:t>
            </w:r>
          </w:p>
        </w:tc>
        <w:tc>
          <w:tcPr>
            <w:tcW w:w="1420" w:type="dxa"/>
            <w:tcBorders>
              <w:tl2br w:val="nil"/>
              <w:tr2bl w:val="nil"/>
            </w:tcBorders>
            <w:shd w:val="clear" w:color="auto" w:fill="auto"/>
            <w:vAlign w:val="center"/>
          </w:tcPr>
          <w:p w14:paraId="04EE5240">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CC9E93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47CE0434">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AFCEF76">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29A2D4F5">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11A69D5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保养台账</w:t>
            </w:r>
          </w:p>
        </w:tc>
        <w:tc>
          <w:tcPr>
            <w:tcW w:w="3975" w:type="dxa"/>
            <w:tcBorders>
              <w:tl2br w:val="nil"/>
              <w:tr2bl w:val="nil"/>
            </w:tcBorders>
            <w:shd w:val="clear" w:color="auto" w:fill="auto"/>
            <w:vAlign w:val="center"/>
          </w:tcPr>
          <w:p w14:paraId="43A8B19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支持对于保养相关的台账管理功能。</w:t>
            </w:r>
          </w:p>
        </w:tc>
        <w:tc>
          <w:tcPr>
            <w:tcW w:w="1420" w:type="dxa"/>
            <w:tcBorders>
              <w:tl2br w:val="nil"/>
              <w:tr2bl w:val="nil"/>
            </w:tcBorders>
            <w:shd w:val="clear" w:color="auto" w:fill="auto"/>
            <w:vAlign w:val="center"/>
          </w:tcPr>
          <w:p w14:paraId="683496E0">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4B3DAF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5C056B9C">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E74FCF0">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2C2C478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泵房维修</w:t>
            </w:r>
          </w:p>
        </w:tc>
        <w:tc>
          <w:tcPr>
            <w:tcW w:w="1299" w:type="dxa"/>
            <w:tcBorders>
              <w:tl2br w:val="nil"/>
              <w:tr2bl w:val="nil"/>
            </w:tcBorders>
            <w:shd w:val="clear" w:color="auto" w:fill="auto"/>
            <w:vAlign w:val="center"/>
          </w:tcPr>
          <w:p w14:paraId="5CC2E70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维修计划</w:t>
            </w:r>
          </w:p>
        </w:tc>
        <w:tc>
          <w:tcPr>
            <w:tcW w:w="3975" w:type="dxa"/>
            <w:tcBorders>
              <w:tl2br w:val="nil"/>
              <w:tr2bl w:val="nil"/>
            </w:tcBorders>
            <w:shd w:val="clear" w:color="auto" w:fill="auto"/>
            <w:vAlign w:val="center"/>
          </w:tcPr>
          <w:p w14:paraId="08BCCAA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根据前端保养及巡检数据，实现对于设备运行情况分析。</w:t>
            </w:r>
          </w:p>
        </w:tc>
        <w:tc>
          <w:tcPr>
            <w:tcW w:w="1420" w:type="dxa"/>
            <w:tcBorders>
              <w:tl2br w:val="nil"/>
              <w:tr2bl w:val="nil"/>
            </w:tcBorders>
            <w:shd w:val="clear" w:color="auto" w:fill="auto"/>
            <w:vAlign w:val="center"/>
          </w:tcPr>
          <w:p w14:paraId="48F5CE23">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09AFD53">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3F66CFFA">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F44AF73">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5E9229AE">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46AAA0D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分析研判</w:t>
            </w:r>
          </w:p>
        </w:tc>
        <w:tc>
          <w:tcPr>
            <w:tcW w:w="3975" w:type="dxa"/>
            <w:tcBorders>
              <w:tl2br w:val="nil"/>
              <w:tr2bl w:val="nil"/>
            </w:tcBorders>
            <w:shd w:val="clear" w:color="auto" w:fill="auto"/>
            <w:vAlign w:val="center"/>
          </w:tcPr>
          <w:p w14:paraId="6C2EAAA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对于设备故障维修的重要性进行优先级分类，并支持重点故障研判分级展示。</w:t>
            </w:r>
          </w:p>
        </w:tc>
        <w:tc>
          <w:tcPr>
            <w:tcW w:w="1420" w:type="dxa"/>
            <w:tcBorders>
              <w:tl2br w:val="nil"/>
              <w:tr2bl w:val="nil"/>
            </w:tcBorders>
            <w:shd w:val="clear" w:color="auto" w:fill="auto"/>
            <w:vAlign w:val="center"/>
          </w:tcPr>
          <w:p w14:paraId="6E8B1D80">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7C28E3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ECA62F1">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B7D9CB1">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5BCE828">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2B8C53E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维修调度</w:t>
            </w:r>
          </w:p>
        </w:tc>
        <w:tc>
          <w:tcPr>
            <w:tcW w:w="3975" w:type="dxa"/>
            <w:tcBorders>
              <w:tl2br w:val="nil"/>
              <w:tr2bl w:val="nil"/>
            </w:tcBorders>
            <w:shd w:val="clear" w:color="auto" w:fill="auto"/>
            <w:vAlign w:val="center"/>
          </w:tcPr>
          <w:p w14:paraId="6F89613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可以在系统平台下发维修工单信息，可以对重点工单情况进行人员调度</w:t>
            </w:r>
          </w:p>
        </w:tc>
        <w:tc>
          <w:tcPr>
            <w:tcW w:w="1420" w:type="dxa"/>
            <w:tcBorders>
              <w:tl2br w:val="nil"/>
              <w:tr2bl w:val="nil"/>
            </w:tcBorders>
            <w:shd w:val="clear" w:color="auto" w:fill="auto"/>
            <w:vAlign w:val="center"/>
          </w:tcPr>
          <w:p w14:paraId="33F00728">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1C609F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26361E1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98E2D72">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42A843B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巡检清单</w:t>
            </w:r>
          </w:p>
        </w:tc>
        <w:tc>
          <w:tcPr>
            <w:tcW w:w="1299" w:type="dxa"/>
            <w:tcBorders>
              <w:tl2br w:val="nil"/>
              <w:tr2bl w:val="nil"/>
            </w:tcBorders>
            <w:shd w:val="clear" w:color="auto" w:fill="auto"/>
            <w:vAlign w:val="center"/>
          </w:tcPr>
          <w:p w14:paraId="6A738AF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巡检清单编制</w:t>
            </w:r>
          </w:p>
        </w:tc>
        <w:tc>
          <w:tcPr>
            <w:tcW w:w="3975" w:type="dxa"/>
            <w:tcBorders>
              <w:tl2br w:val="nil"/>
              <w:tr2bl w:val="nil"/>
            </w:tcBorders>
            <w:shd w:val="clear" w:color="auto" w:fill="auto"/>
            <w:vAlign w:val="center"/>
          </w:tcPr>
          <w:p w14:paraId="305485D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支持在系统平台上对所有泵站设备的运维保养清单内容进行编制及下发功能，支持自定义巡查周期及时间计划。</w:t>
            </w:r>
          </w:p>
        </w:tc>
        <w:tc>
          <w:tcPr>
            <w:tcW w:w="1420" w:type="dxa"/>
            <w:tcBorders>
              <w:tl2br w:val="nil"/>
              <w:tr2bl w:val="nil"/>
            </w:tcBorders>
            <w:shd w:val="clear" w:color="auto" w:fill="auto"/>
            <w:vAlign w:val="center"/>
          </w:tcPr>
          <w:p w14:paraId="617475B2">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2161F5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7258DAB">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3EFF321">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7DA87B3">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4802493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巡检任务自动派送</w:t>
            </w:r>
          </w:p>
        </w:tc>
        <w:tc>
          <w:tcPr>
            <w:tcW w:w="3975" w:type="dxa"/>
            <w:tcBorders>
              <w:tl2br w:val="nil"/>
              <w:tr2bl w:val="nil"/>
            </w:tcBorders>
            <w:shd w:val="clear" w:color="auto" w:fill="auto"/>
            <w:vAlign w:val="center"/>
          </w:tcPr>
          <w:p w14:paraId="417BA32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针对设定的巡检周期，系统到期限后，自动提醒巡检人员进行巡检工作。</w:t>
            </w:r>
          </w:p>
        </w:tc>
        <w:tc>
          <w:tcPr>
            <w:tcW w:w="1420" w:type="dxa"/>
            <w:tcBorders>
              <w:tl2br w:val="nil"/>
              <w:tr2bl w:val="nil"/>
            </w:tcBorders>
            <w:shd w:val="clear" w:color="auto" w:fill="auto"/>
            <w:vAlign w:val="center"/>
          </w:tcPr>
          <w:p w14:paraId="30EFB409">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713F7B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9224290">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17D85A4">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62FCE1C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AI分析模型</w:t>
            </w:r>
          </w:p>
        </w:tc>
        <w:tc>
          <w:tcPr>
            <w:tcW w:w="1299" w:type="dxa"/>
            <w:tcBorders>
              <w:tl2br w:val="nil"/>
              <w:tr2bl w:val="nil"/>
            </w:tcBorders>
            <w:shd w:val="clear" w:color="auto" w:fill="auto"/>
            <w:vAlign w:val="center"/>
          </w:tcPr>
          <w:p w14:paraId="789B4F4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数据汇总</w:t>
            </w:r>
          </w:p>
        </w:tc>
        <w:tc>
          <w:tcPr>
            <w:tcW w:w="3975" w:type="dxa"/>
            <w:tcBorders>
              <w:tl2br w:val="nil"/>
              <w:tr2bl w:val="nil"/>
            </w:tcBorders>
            <w:shd w:val="clear" w:color="auto" w:fill="auto"/>
            <w:vAlign w:val="center"/>
          </w:tcPr>
          <w:p w14:paraId="41386AE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支持对泵房结构数据、设备数据、能耗数据等汇总情况进行综合分析，实现泵房数据汇总的展示和曲线图展示。</w:t>
            </w:r>
          </w:p>
        </w:tc>
        <w:tc>
          <w:tcPr>
            <w:tcW w:w="1420" w:type="dxa"/>
            <w:tcBorders>
              <w:tl2br w:val="nil"/>
              <w:tr2bl w:val="nil"/>
            </w:tcBorders>
            <w:shd w:val="clear" w:color="auto" w:fill="auto"/>
            <w:vAlign w:val="center"/>
          </w:tcPr>
          <w:p w14:paraId="2D74262B">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45B129F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0873B869">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713E7839">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0B1B586">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52AFB6D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数据分析</w:t>
            </w:r>
          </w:p>
        </w:tc>
        <w:tc>
          <w:tcPr>
            <w:tcW w:w="3975" w:type="dxa"/>
            <w:tcBorders>
              <w:tl2br w:val="nil"/>
              <w:tr2bl w:val="nil"/>
            </w:tcBorders>
            <w:shd w:val="clear" w:color="auto" w:fill="auto"/>
            <w:vAlign w:val="center"/>
          </w:tcPr>
          <w:p w14:paraId="2558AA7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结合当前运行数据和历史数据的比对分析，可以有效预警和发现设备异常事件；</w:t>
            </w:r>
          </w:p>
        </w:tc>
        <w:tc>
          <w:tcPr>
            <w:tcW w:w="1420" w:type="dxa"/>
            <w:tcBorders>
              <w:tl2br w:val="nil"/>
              <w:tr2bl w:val="nil"/>
            </w:tcBorders>
            <w:shd w:val="clear" w:color="auto" w:fill="auto"/>
            <w:vAlign w:val="center"/>
          </w:tcPr>
          <w:p w14:paraId="57BBDDE6">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4715C7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1DAA17A0">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BFA2394">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7858780">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0B73496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停机计划</w:t>
            </w:r>
          </w:p>
        </w:tc>
        <w:tc>
          <w:tcPr>
            <w:tcW w:w="3975" w:type="dxa"/>
            <w:tcBorders>
              <w:tl2br w:val="nil"/>
              <w:tr2bl w:val="nil"/>
            </w:tcBorders>
            <w:shd w:val="clear" w:color="auto" w:fill="auto"/>
            <w:vAlign w:val="center"/>
          </w:tcPr>
          <w:p w14:paraId="177420C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针对异常设备的原因对停机计划进行制定，可以在异常设备的基础上设置停机维修计划。</w:t>
            </w:r>
          </w:p>
        </w:tc>
        <w:tc>
          <w:tcPr>
            <w:tcW w:w="1420" w:type="dxa"/>
            <w:tcBorders>
              <w:tl2br w:val="nil"/>
              <w:tr2bl w:val="nil"/>
            </w:tcBorders>
            <w:shd w:val="clear" w:color="auto" w:fill="auto"/>
            <w:vAlign w:val="center"/>
          </w:tcPr>
          <w:p w14:paraId="46348422">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F1F44C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F30B61F">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D64391E">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1DCC1A2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决策支持报告</w:t>
            </w:r>
          </w:p>
        </w:tc>
        <w:tc>
          <w:tcPr>
            <w:tcW w:w="1299" w:type="dxa"/>
            <w:tcBorders>
              <w:tl2br w:val="nil"/>
              <w:tr2bl w:val="nil"/>
            </w:tcBorders>
            <w:shd w:val="clear" w:color="auto" w:fill="auto"/>
            <w:vAlign w:val="center"/>
          </w:tcPr>
          <w:p w14:paraId="0074B1B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智能预测和诊断报告</w:t>
            </w:r>
          </w:p>
        </w:tc>
        <w:tc>
          <w:tcPr>
            <w:tcW w:w="3975" w:type="dxa"/>
            <w:tcBorders>
              <w:tl2br w:val="nil"/>
              <w:tr2bl w:val="nil"/>
            </w:tcBorders>
            <w:shd w:val="clear" w:color="auto" w:fill="auto"/>
            <w:vAlign w:val="center"/>
          </w:tcPr>
          <w:p w14:paraId="5AA2CA9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支持对于泵站实时数据的分析和运行监测，可以在系统中实现异常诊断报告的输出，实现异常诊断的报告的打印功能。</w:t>
            </w:r>
          </w:p>
        </w:tc>
        <w:tc>
          <w:tcPr>
            <w:tcW w:w="1420" w:type="dxa"/>
            <w:tcBorders>
              <w:tl2br w:val="nil"/>
              <w:tr2bl w:val="nil"/>
            </w:tcBorders>
            <w:shd w:val="clear" w:color="auto" w:fill="auto"/>
            <w:vAlign w:val="center"/>
          </w:tcPr>
          <w:p w14:paraId="1E07A3A5">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DE87F5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20009FE7">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57D3AD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661F2B0">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07BB7F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运行报告生成</w:t>
            </w:r>
          </w:p>
        </w:tc>
        <w:tc>
          <w:tcPr>
            <w:tcW w:w="3975" w:type="dxa"/>
            <w:tcBorders>
              <w:tl2br w:val="nil"/>
              <w:tr2bl w:val="nil"/>
            </w:tcBorders>
            <w:shd w:val="clear" w:color="auto" w:fill="auto"/>
            <w:vAlign w:val="center"/>
          </w:tcPr>
          <w:p w14:paraId="68E76C8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支持对于泵站的运行报告生成。</w:t>
            </w:r>
          </w:p>
        </w:tc>
        <w:tc>
          <w:tcPr>
            <w:tcW w:w="1420" w:type="dxa"/>
            <w:tcBorders>
              <w:tl2br w:val="nil"/>
              <w:tr2bl w:val="nil"/>
            </w:tcBorders>
            <w:shd w:val="clear" w:color="auto" w:fill="auto"/>
            <w:vAlign w:val="center"/>
          </w:tcPr>
          <w:p w14:paraId="56999BFC">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3B7437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08BBE94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5199D7B">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noWrap/>
            <w:vAlign w:val="center"/>
          </w:tcPr>
          <w:p w14:paraId="20A0CBB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运维评价</w:t>
            </w:r>
          </w:p>
        </w:tc>
        <w:tc>
          <w:tcPr>
            <w:tcW w:w="1299" w:type="dxa"/>
            <w:tcBorders>
              <w:tl2br w:val="nil"/>
              <w:tr2bl w:val="nil"/>
            </w:tcBorders>
            <w:shd w:val="clear" w:color="auto" w:fill="auto"/>
            <w:noWrap/>
            <w:vAlign w:val="center"/>
          </w:tcPr>
          <w:p w14:paraId="7FE72B1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vAlign w:val="center"/>
          </w:tcPr>
          <w:p w14:paraId="64FE2B8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根据业务评定要求，对日常运维、事件处置、设备性能等进行统计分析，生成评价打分体系。</w:t>
            </w:r>
          </w:p>
        </w:tc>
        <w:tc>
          <w:tcPr>
            <w:tcW w:w="1420" w:type="dxa"/>
            <w:tcBorders>
              <w:tl2br w:val="nil"/>
              <w:tr2bl w:val="nil"/>
            </w:tcBorders>
            <w:shd w:val="clear" w:color="auto" w:fill="auto"/>
            <w:vAlign w:val="center"/>
          </w:tcPr>
          <w:p w14:paraId="07193616">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46809DB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12D496DE">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C888A0E">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noWrap/>
            <w:vAlign w:val="center"/>
          </w:tcPr>
          <w:p w14:paraId="3E13FFE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运维档案</w:t>
            </w:r>
          </w:p>
        </w:tc>
        <w:tc>
          <w:tcPr>
            <w:tcW w:w="1299" w:type="dxa"/>
            <w:tcBorders>
              <w:tl2br w:val="nil"/>
              <w:tr2bl w:val="nil"/>
            </w:tcBorders>
            <w:shd w:val="clear" w:color="auto" w:fill="auto"/>
            <w:noWrap/>
            <w:vAlign w:val="center"/>
          </w:tcPr>
          <w:p w14:paraId="397F84E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数据报告</w:t>
            </w:r>
          </w:p>
        </w:tc>
        <w:tc>
          <w:tcPr>
            <w:tcW w:w="3975" w:type="dxa"/>
            <w:tcBorders>
              <w:tl2br w:val="nil"/>
              <w:tr2bl w:val="nil"/>
            </w:tcBorders>
            <w:shd w:val="clear" w:color="auto" w:fill="auto"/>
            <w:vAlign w:val="center"/>
          </w:tcPr>
          <w:p w14:paraId="5A7512A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支持对应的数据台账管理工作，自动生成所有的运维台账及基础信息的汇总统计</w:t>
            </w:r>
            <w:r>
              <w:rPr>
                <w:rFonts w:hint="eastAsia" w:ascii="宋体" w:hAnsi="宋体" w:cs="宋体"/>
                <w:i w:val="0"/>
                <w:iCs w:val="0"/>
                <w:color w:val="000000"/>
                <w:kern w:val="0"/>
                <w:sz w:val="20"/>
                <w:szCs w:val="20"/>
                <w:highlight w:val="none"/>
                <w:u w:val="none"/>
                <w:lang w:val="en-US" w:eastAsia="zh-CN" w:bidi="ar"/>
              </w:rPr>
              <w:t>。</w:t>
            </w:r>
          </w:p>
        </w:tc>
        <w:tc>
          <w:tcPr>
            <w:tcW w:w="1420" w:type="dxa"/>
            <w:tcBorders>
              <w:tl2br w:val="nil"/>
              <w:tr2bl w:val="nil"/>
            </w:tcBorders>
            <w:shd w:val="clear" w:color="auto" w:fill="auto"/>
            <w:vAlign w:val="center"/>
          </w:tcPr>
          <w:p w14:paraId="4BABAFD9">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B59E44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63056A6E">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609B108">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noWrap/>
            <w:vAlign w:val="center"/>
          </w:tcPr>
          <w:p w14:paraId="7A2120D7">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noWrap/>
            <w:vAlign w:val="center"/>
          </w:tcPr>
          <w:p w14:paraId="7AF160A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数据导出</w:t>
            </w:r>
          </w:p>
        </w:tc>
        <w:tc>
          <w:tcPr>
            <w:tcW w:w="3975" w:type="dxa"/>
            <w:tcBorders>
              <w:tl2br w:val="nil"/>
              <w:tr2bl w:val="nil"/>
            </w:tcBorders>
            <w:shd w:val="clear" w:color="auto" w:fill="auto"/>
            <w:vAlign w:val="center"/>
          </w:tcPr>
          <w:p w14:paraId="065D9E8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支持对于数据的导出功能，导出相关的表格信息。</w:t>
            </w:r>
          </w:p>
        </w:tc>
        <w:tc>
          <w:tcPr>
            <w:tcW w:w="1420" w:type="dxa"/>
            <w:tcBorders>
              <w:tl2br w:val="nil"/>
              <w:tr2bl w:val="nil"/>
            </w:tcBorders>
            <w:shd w:val="clear" w:color="auto" w:fill="auto"/>
            <w:vAlign w:val="center"/>
          </w:tcPr>
          <w:p w14:paraId="4F299E58">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AF10E0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restart"/>
            <w:tcBorders>
              <w:tl2br w:val="nil"/>
              <w:tr2bl w:val="nil"/>
            </w:tcBorders>
            <w:shd w:val="clear" w:color="auto" w:fill="auto"/>
            <w:vAlign w:val="center"/>
          </w:tcPr>
          <w:p w14:paraId="3A7A75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664" w:type="dxa"/>
            <w:vMerge w:val="restart"/>
            <w:tcBorders>
              <w:tl2br w:val="nil"/>
              <w:tr2bl w:val="nil"/>
            </w:tcBorders>
            <w:shd w:val="clear" w:color="auto" w:fill="auto"/>
            <w:vAlign w:val="center"/>
          </w:tcPr>
          <w:p w14:paraId="6A7E2F6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平台运行管理系统升级</w:t>
            </w:r>
          </w:p>
        </w:tc>
        <w:tc>
          <w:tcPr>
            <w:tcW w:w="1078" w:type="dxa"/>
            <w:vMerge w:val="restart"/>
            <w:tcBorders>
              <w:tl2br w:val="nil"/>
              <w:tr2bl w:val="nil"/>
            </w:tcBorders>
            <w:shd w:val="clear" w:color="auto" w:fill="auto"/>
            <w:noWrap/>
            <w:vAlign w:val="center"/>
          </w:tcPr>
          <w:p w14:paraId="1CA7551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数据汇聚管理</w:t>
            </w:r>
          </w:p>
        </w:tc>
        <w:tc>
          <w:tcPr>
            <w:tcW w:w="1299" w:type="dxa"/>
            <w:tcBorders>
              <w:tl2br w:val="nil"/>
              <w:tr2bl w:val="nil"/>
            </w:tcBorders>
            <w:shd w:val="clear" w:color="auto" w:fill="auto"/>
            <w:noWrap/>
            <w:vAlign w:val="center"/>
          </w:tcPr>
          <w:p w14:paraId="7D8E782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预警告警信息</w:t>
            </w:r>
          </w:p>
        </w:tc>
        <w:tc>
          <w:tcPr>
            <w:tcW w:w="3975" w:type="dxa"/>
            <w:tcBorders>
              <w:tl2br w:val="nil"/>
              <w:tr2bl w:val="nil"/>
            </w:tcBorders>
            <w:shd w:val="clear" w:color="auto" w:fill="auto"/>
            <w:vAlign w:val="center"/>
          </w:tcPr>
          <w:p w14:paraId="1EF73F5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支持对于泵站运行过程的预警告警信息进行数据汇聚和集成。</w:t>
            </w:r>
          </w:p>
        </w:tc>
        <w:tc>
          <w:tcPr>
            <w:tcW w:w="1420" w:type="dxa"/>
            <w:tcBorders>
              <w:tl2br w:val="nil"/>
              <w:tr2bl w:val="nil"/>
            </w:tcBorders>
            <w:shd w:val="clear" w:color="auto" w:fill="auto"/>
            <w:vAlign w:val="center"/>
          </w:tcPr>
          <w:p w14:paraId="20594BB0">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0CB774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6F868CF">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4557C46">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noWrap/>
            <w:vAlign w:val="center"/>
          </w:tcPr>
          <w:p w14:paraId="2D5E6FD6">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noWrap/>
            <w:vAlign w:val="center"/>
          </w:tcPr>
          <w:p w14:paraId="7545B7A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事件管理信息</w:t>
            </w:r>
          </w:p>
        </w:tc>
        <w:tc>
          <w:tcPr>
            <w:tcW w:w="3975" w:type="dxa"/>
            <w:tcBorders>
              <w:tl2br w:val="nil"/>
              <w:tr2bl w:val="nil"/>
            </w:tcBorders>
            <w:shd w:val="clear" w:color="auto" w:fill="auto"/>
            <w:vAlign w:val="center"/>
          </w:tcPr>
          <w:p w14:paraId="3EB0E22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支持</w:t>
            </w:r>
            <w:r>
              <w:rPr>
                <w:rFonts w:hint="eastAsia" w:ascii="宋体" w:hAnsi="宋体" w:eastAsia="宋体" w:cs="宋体"/>
                <w:i w:val="0"/>
                <w:iCs w:val="0"/>
                <w:color w:val="000000"/>
                <w:kern w:val="0"/>
                <w:sz w:val="20"/>
                <w:szCs w:val="20"/>
                <w:highlight w:val="none"/>
                <w:u w:val="none"/>
                <w:lang w:val="en-US" w:eastAsia="zh-CN" w:bidi="ar"/>
              </w:rPr>
              <w:t>在后台维护和管理事件信息。</w:t>
            </w:r>
          </w:p>
        </w:tc>
        <w:tc>
          <w:tcPr>
            <w:tcW w:w="1420" w:type="dxa"/>
            <w:tcBorders>
              <w:tl2br w:val="nil"/>
              <w:tr2bl w:val="nil"/>
            </w:tcBorders>
            <w:shd w:val="clear" w:color="auto" w:fill="auto"/>
            <w:vAlign w:val="center"/>
          </w:tcPr>
          <w:p w14:paraId="69F02875">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2888E3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B47570A">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211574E">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noWrap/>
            <w:vAlign w:val="center"/>
          </w:tcPr>
          <w:p w14:paraId="703620CB">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noWrap/>
            <w:vAlign w:val="center"/>
          </w:tcPr>
          <w:p w14:paraId="363D65C8">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物联设备信息</w:t>
            </w:r>
          </w:p>
        </w:tc>
        <w:tc>
          <w:tcPr>
            <w:tcW w:w="3975" w:type="dxa"/>
            <w:tcBorders>
              <w:tl2br w:val="nil"/>
              <w:tr2bl w:val="nil"/>
            </w:tcBorders>
            <w:shd w:val="clear" w:color="auto" w:fill="auto"/>
            <w:vAlign w:val="center"/>
          </w:tcPr>
          <w:p w14:paraId="6EB0736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支持对于接入到平台的物联设备进行管理。</w:t>
            </w:r>
          </w:p>
        </w:tc>
        <w:tc>
          <w:tcPr>
            <w:tcW w:w="1420" w:type="dxa"/>
            <w:tcBorders>
              <w:tl2br w:val="nil"/>
              <w:tr2bl w:val="nil"/>
            </w:tcBorders>
            <w:shd w:val="clear" w:color="auto" w:fill="auto"/>
            <w:vAlign w:val="center"/>
          </w:tcPr>
          <w:p w14:paraId="07ECABA7">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4B9FBA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04D1A63">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64FC160">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noWrap/>
            <w:vAlign w:val="center"/>
          </w:tcPr>
          <w:p w14:paraId="6105763E">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noWrap/>
            <w:vAlign w:val="center"/>
          </w:tcPr>
          <w:p w14:paraId="501CF3F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异常数据监测</w:t>
            </w:r>
          </w:p>
        </w:tc>
        <w:tc>
          <w:tcPr>
            <w:tcW w:w="3975" w:type="dxa"/>
            <w:tcBorders>
              <w:tl2br w:val="nil"/>
              <w:tr2bl w:val="nil"/>
            </w:tcBorders>
            <w:shd w:val="clear" w:color="auto" w:fill="auto"/>
            <w:vAlign w:val="center"/>
          </w:tcPr>
          <w:p w14:paraId="5BA295D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支撑对于泵房运行监测的集成，可以对于上传的异常数据进行筛选，并支持对于异常数据汇总和展示。</w:t>
            </w:r>
          </w:p>
        </w:tc>
        <w:tc>
          <w:tcPr>
            <w:tcW w:w="1420" w:type="dxa"/>
            <w:tcBorders>
              <w:tl2br w:val="nil"/>
              <w:tr2bl w:val="nil"/>
            </w:tcBorders>
            <w:shd w:val="clear" w:color="auto" w:fill="auto"/>
            <w:vAlign w:val="center"/>
          </w:tcPr>
          <w:p w14:paraId="5140110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669A2E3">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46B2563C">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3AEBC7C">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noWrap/>
            <w:vAlign w:val="center"/>
          </w:tcPr>
          <w:p w14:paraId="7B0C9C8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运行档案管理</w:t>
            </w:r>
          </w:p>
        </w:tc>
        <w:tc>
          <w:tcPr>
            <w:tcW w:w="1299" w:type="dxa"/>
            <w:tcBorders>
              <w:tl2br w:val="nil"/>
              <w:tr2bl w:val="nil"/>
            </w:tcBorders>
            <w:shd w:val="clear" w:color="auto" w:fill="auto"/>
            <w:noWrap/>
            <w:vAlign w:val="center"/>
          </w:tcPr>
          <w:p w14:paraId="1010D6C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档案管理功能</w:t>
            </w:r>
          </w:p>
        </w:tc>
        <w:tc>
          <w:tcPr>
            <w:tcW w:w="3975" w:type="dxa"/>
            <w:tcBorders>
              <w:tl2br w:val="nil"/>
              <w:tr2bl w:val="nil"/>
            </w:tcBorders>
            <w:shd w:val="clear" w:color="auto" w:fill="auto"/>
            <w:vAlign w:val="center"/>
          </w:tcPr>
          <w:p w14:paraId="10539A8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对于各类运行档案的管理功能</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支持对应的档案增加及修订等。</w:t>
            </w:r>
          </w:p>
        </w:tc>
        <w:tc>
          <w:tcPr>
            <w:tcW w:w="1420" w:type="dxa"/>
            <w:tcBorders>
              <w:tl2br w:val="nil"/>
              <w:tr2bl w:val="nil"/>
            </w:tcBorders>
            <w:shd w:val="clear" w:color="auto" w:fill="auto"/>
            <w:vAlign w:val="center"/>
          </w:tcPr>
          <w:p w14:paraId="3A8E890B">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B8247B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187A102E">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A4B58F8">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noWrap/>
            <w:vAlign w:val="center"/>
          </w:tcPr>
          <w:p w14:paraId="72A6B218">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noWrap/>
            <w:vAlign w:val="center"/>
          </w:tcPr>
          <w:p w14:paraId="0B2DF83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分类分级</w:t>
            </w:r>
          </w:p>
        </w:tc>
        <w:tc>
          <w:tcPr>
            <w:tcW w:w="3975" w:type="dxa"/>
            <w:tcBorders>
              <w:tl2br w:val="nil"/>
              <w:tr2bl w:val="nil"/>
            </w:tcBorders>
            <w:shd w:val="clear" w:color="auto" w:fill="auto"/>
            <w:vAlign w:val="center"/>
          </w:tcPr>
          <w:p w14:paraId="19E7CE4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对于不同的档案类别，支持通过数据角色确认用户的权限信息，并支持所有数据的分类展示和管理。</w:t>
            </w:r>
          </w:p>
        </w:tc>
        <w:tc>
          <w:tcPr>
            <w:tcW w:w="1420" w:type="dxa"/>
            <w:tcBorders>
              <w:tl2br w:val="nil"/>
              <w:tr2bl w:val="nil"/>
            </w:tcBorders>
            <w:shd w:val="clear" w:color="auto" w:fill="auto"/>
            <w:vAlign w:val="center"/>
          </w:tcPr>
          <w:p w14:paraId="49BF6055">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5EED86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3F4B4C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C9410C0">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noWrap/>
            <w:vAlign w:val="center"/>
          </w:tcPr>
          <w:p w14:paraId="04128160">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noWrap/>
            <w:vAlign w:val="center"/>
          </w:tcPr>
          <w:p w14:paraId="1DC8D28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记录追溯</w:t>
            </w:r>
          </w:p>
        </w:tc>
        <w:tc>
          <w:tcPr>
            <w:tcW w:w="3975" w:type="dxa"/>
            <w:tcBorders>
              <w:tl2br w:val="nil"/>
              <w:tr2bl w:val="nil"/>
            </w:tcBorders>
            <w:shd w:val="clear" w:color="auto" w:fill="auto"/>
            <w:vAlign w:val="center"/>
          </w:tcPr>
          <w:p w14:paraId="0302B81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对于设备所有运维操作的记录追溯功能，可以以时间线的方式展示所有运维记录信息。</w:t>
            </w:r>
          </w:p>
        </w:tc>
        <w:tc>
          <w:tcPr>
            <w:tcW w:w="1420" w:type="dxa"/>
            <w:tcBorders>
              <w:tl2br w:val="nil"/>
              <w:tr2bl w:val="nil"/>
            </w:tcBorders>
            <w:shd w:val="clear" w:color="auto" w:fill="auto"/>
            <w:vAlign w:val="center"/>
          </w:tcPr>
          <w:p w14:paraId="291A8CB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14C0F0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1A85AEA9">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F083773">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noWrap/>
            <w:vAlign w:val="center"/>
          </w:tcPr>
          <w:p w14:paraId="36DB390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实时数据分析</w:t>
            </w:r>
          </w:p>
        </w:tc>
        <w:tc>
          <w:tcPr>
            <w:tcW w:w="1299" w:type="dxa"/>
            <w:tcBorders>
              <w:tl2br w:val="nil"/>
              <w:tr2bl w:val="nil"/>
            </w:tcBorders>
            <w:shd w:val="clear" w:color="auto" w:fill="auto"/>
            <w:noWrap/>
            <w:vAlign w:val="center"/>
          </w:tcPr>
          <w:p w14:paraId="05DF827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实时数据分析展示</w:t>
            </w:r>
          </w:p>
        </w:tc>
        <w:tc>
          <w:tcPr>
            <w:tcW w:w="3975" w:type="dxa"/>
            <w:tcBorders>
              <w:tl2br w:val="nil"/>
              <w:tr2bl w:val="nil"/>
            </w:tcBorders>
            <w:shd w:val="clear" w:color="auto" w:fill="auto"/>
            <w:vAlign w:val="center"/>
          </w:tcPr>
          <w:p w14:paraId="5D15B65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提供实时数据分析功能，对运行数据进行实时处理和分析，提供直观的可视化报表。</w:t>
            </w:r>
          </w:p>
        </w:tc>
        <w:tc>
          <w:tcPr>
            <w:tcW w:w="1420" w:type="dxa"/>
            <w:tcBorders>
              <w:tl2br w:val="nil"/>
              <w:tr2bl w:val="nil"/>
            </w:tcBorders>
            <w:shd w:val="clear" w:color="auto" w:fill="auto"/>
            <w:vAlign w:val="center"/>
          </w:tcPr>
          <w:p w14:paraId="67C8F263">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78AE35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2E315990">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42E21D8">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noWrap/>
            <w:vAlign w:val="center"/>
          </w:tcPr>
          <w:p w14:paraId="1846ADC8">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noWrap/>
            <w:vAlign w:val="center"/>
          </w:tcPr>
          <w:p w14:paraId="2403E51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自定义报表定制</w:t>
            </w:r>
          </w:p>
        </w:tc>
        <w:tc>
          <w:tcPr>
            <w:tcW w:w="3975" w:type="dxa"/>
            <w:tcBorders>
              <w:tl2br w:val="nil"/>
              <w:tr2bl w:val="nil"/>
            </w:tcBorders>
            <w:shd w:val="clear" w:color="auto" w:fill="auto"/>
            <w:vAlign w:val="center"/>
          </w:tcPr>
          <w:p w14:paraId="3CD51FE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支持报表的自定义展示功能。</w:t>
            </w:r>
          </w:p>
        </w:tc>
        <w:tc>
          <w:tcPr>
            <w:tcW w:w="1420" w:type="dxa"/>
            <w:tcBorders>
              <w:tl2br w:val="nil"/>
              <w:tr2bl w:val="nil"/>
            </w:tcBorders>
            <w:shd w:val="clear" w:color="auto" w:fill="auto"/>
            <w:vAlign w:val="center"/>
          </w:tcPr>
          <w:p w14:paraId="6D27B20E">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A2FD5C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4DCBF60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EA43269">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noWrap/>
            <w:vAlign w:val="center"/>
          </w:tcPr>
          <w:p w14:paraId="0DDD25A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指导手册更新</w:t>
            </w:r>
          </w:p>
        </w:tc>
        <w:tc>
          <w:tcPr>
            <w:tcW w:w="1299" w:type="dxa"/>
            <w:tcBorders>
              <w:tl2br w:val="nil"/>
              <w:tr2bl w:val="nil"/>
            </w:tcBorders>
            <w:shd w:val="clear" w:color="auto" w:fill="auto"/>
            <w:vAlign w:val="center"/>
          </w:tcPr>
          <w:p w14:paraId="00B5886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vAlign w:val="center"/>
          </w:tcPr>
          <w:p w14:paraId="61A86C9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支持上传指导手册更新，可以同步到移动端</w:t>
            </w:r>
          </w:p>
        </w:tc>
        <w:tc>
          <w:tcPr>
            <w:tcW w:w="1420" w:type="dxa"/>
            <w:tcBorders>
              <w:tl2br w:val="nil"/>
              <w:tr2bl w:val="nil"/>
            </w:tcBorders>
            <w:shd w:val="clear" w:color="auto" w:fill="auto"/>
            <w:vAlign w:val="center"/>
          </w:tcPr>
          <w:p w14:paraId="46FA7925">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257E80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4B8809B5">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762AA6F">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vAlign w:val="center"/>
          </w:tcPr>
          <w:p w14:paraId="7606004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跨平台集成</w:t>
            </w:r>
          </w:p>
        </w:tc>
        <w:tc>
          <w:tcPr>
            <w:tcW w:w="1299" w:type="dxa"/>
            <w:tcBorders>
              <w:tl2br w:val="nil"/>
              <w:tr2bl w:val="nil"/>
            </w:tcBorders>
            <w:shd w:val="clear" w:color="auto" w:fill="auto"/>
            <w:vAlign w:val="center"/>
          </w:tcPr>
          <w:p w14:paraId="532AA00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noWrap/>
            <w:vAlign w:val="center"/>
          </w:tcPr>
          <w:p w14:paraId="3484D0C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开发相关数据接口，预留与TOCC系统、智慧公路管理平台、城运中心一网通管平台的数据对接整合能力，确保数据的互联互通。</w:t>
            </w:r>
          </w:p>
        </w:tc>
        <w:tc>
          <w:tcPr>
            <w:tcW w:w="1420" w:type="dxa"/>
            <w:tcBorders>
              <w:tl2br w:val="nil"/>
              <w:tr2bl w:val="nil"/>
            </w:tcBorders>
            <w:shd w:val="clear" w:color="auto" w:fill="auto"/>
            <w:noWrap/>
            <w:vAlign w:val="center"/>
          </w:tcPr>
          <w:p w14:paraId="63677BF0">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8084D2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1275" w:hRule="atLeast"/>
          <w:jc w:val="center"/>
        </w:trPr>
        <w:tc>
          <w:tcPr>
            <w:tcW w:w="411" w:type="dxa"/>
            <w:vMerge w:val="restart"/>
            <w:tcBorders>
              <w:tl2br w:val="nil"/>
              <w:tr2bl w:val="nil"/>
            </w:tcBorders>
            <w:shd w:val="clear" w:color="auto" w:fill="auto"/>
            <w:vAlign w:val="center"/>
          </w:tcPr>
          <w:p w14:paraId="6128C4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664" w:type="dxa"/>
            <w:vMerge w:val="restart"/>
            <w:tcBorders>
              <w:tl2br w:val="nil"/>
              <w:tr2bl w:val="nil"/>
            </w:tcBorders>
            <w:shd w:val="clear" w:color="auto" w:fill="auto"/>
            <w:vAlign w:val="center"/>
          </w:tcPr>
          <w:p w14:paraId="3328291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运行监管移动端开发</w:t>
            </w:r>
          </w:p>
        </w:tc>
        <w:tc>
          <w:tcPr>
            <w:tcW w:w="1078" w:type="dxa"/>
            <w:vMerge w:val="restart"/>
            <w:tcBorders>
              <w:tl2br w:val="nil"/>
              <w:tr2bl w:val="nil"/>
            </w:tcBorders>
            <w:shd w:val="clear" w:color="auto" w:fill="auto"/>
            <w:vAlign w:val="center"/>
          </w:tcPr>
          <w:p w14:paraId="28FFF17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实时信息</w:t>
            </w:r>
          </w:p>
        </w:tc>
        <w:tc>
          <w:tcPr>
            <w:tcW w:w="1299" w:type="dxa"/>
            <w:tcBorders>
              <w:tl2br w:val="nil"/>
              <w:tr2bl w:val="nil"/>
            </w:tcBorders>
            <w:shd w:val="clear" w:color="auto" w:fill="auto"/>
            <w:vAlign w:val="center"/>
          </w:tcPr>
          <w:p w14:paraId="7184AFE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液位</w:t>
            </w:r>
          </w:p>
        </w:tc>
        <w:tc>
          <w:tcPr>
            <w:tcW w:w="3975" w:type="dxa"/>
            <w:tcBorders>
              <w:tl2br w:val="nil"/>
              <w:tr2bl w:val="nil"/>
            </w:tcBorders>
            <w:shd w:val="clear" w:color="auto" w:fill="auto"/>
            <w:vAlign w:val="center"/>
          </w:tcPr>
          <w:p w14:paraId="18EFB7E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列表展示各泵站的简要液位信息。</w:t>
            </w:r>
          </w:p>
        </w:tc>
        <w:tc>
          <w:tcPr>
            <w:tcW w:w="1420" w:type="dxa"/>
            <w:tcBorders>
              <w:tl2br w:val="nil"/>
              <w:tr2bl w:val="nil"/>
            </w:tcBorders>
            <w:shd w:val="clear" w:color="auto" w:fill="auto"/>
            <w:vAlign w:val="center"/>
          </w:tcPr>
          <w:p w14:paraId="2F661098">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11C22E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040" w:hRule="atLeast"/>
          <w:jc w:val="center"/>
        </w:trPr>
        <w:tc>
          <w:tcPr>
            <w:tcW w:w="411" w:type="dxa"/>
            <w:vMerge w:val="continue"/>
            <w:tcBorders>
              <w:tl2br w:val="nil"/>
              <w:tr2bl w:val="nil"/>
            </w:tcBorders>
            <w:shd w:val="clear" w:color="auto" w:fill="auto"/>
            <w:vAlign w:val="center"/>
          </w:tcPr>
          <w:p w14:paraId="71FDE639">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B6DC05C">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90BDAC9">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564ABA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雨情</w:t>
            </w:r>
          </w:p>
        </w:tc>
        <w:tc>
          <w:tcPr>
            <w:tcW w:w="3975" w:type="dxa"/>
            <w:tcBorders>
              <w:tl2br w:val="nil"/>
              <w:tr2bl w:val="nil"/>
            </w:tcBorders>
            <w:shd w:val="clear" w:color="auto" w:fill="auto"/>
            <w:vAlign w:val="center"/>
          </w:tcPr>
          <w:p w14:paraId="556C78B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列表展示各雨情观测点的简要降水信息。</w:t>
            </w:r>
          </w:p>
        </w:tc>
        <w:tc>
          <w:tcPr>
            <w:tcW w:w="1420" w:type="dxa"/>
            <w:tcBorders>
              <w:tl2br w:val="nil"/>
              <w:tr2bl w:val="nil"/>
            </w:tcBorders>
            <w:shd w:val="clear" w:color="auto" w:fill="auto"/>
            <w:vAlign w:val="center"/>
          </w:tcPr>
          <w:p w14:paraId="3C1B94F3">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B7009F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805" w:hRule="atLeast"/>
          <w:jc w:val="center"/>
        </w:trPr>
        <w:tc>
          <w:tcPr>
            <w:tcW w:w="411" w:type="dxa"/>
            <w:vMerge w:val="continue"/>
            <w:tcBorders>
              <w:tl2br w:val="nil"/>
              <w:tr2bl w:val="nil"/>
            </w:tcBorders>
            <w:shd w:val="clear" w:color="auto" w:fill="auto"/>
            <w:vAlign w:val="center"/>
          </w:tcPr>
          <w:p w14:paraId="4F71EFA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ADCA771">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CB3A3D8">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3ED02D3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工情</w:t>
            </w:r>
          </w:p>
        </w:tc>
        <w:tc>
          <w:tcPr>
            <w:tcW w:w="3975" w:type="dxa"/>
            <w:tcBorders>
              <w:tl2br w:val="nil"/>
              <w:tr2bl w:val="nil"/>
            </w:tcBorders>
            <w:shd w:val="clear" w:color="auto" w:fill="auto"/>
            <w:vAlign w:val="center"/>
          </w:tcPr>
          <w:p w14:paraId="6F57052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列表展示各泵站的简要工情信息。</w:t>
            </w:r>
          </w:p>
        </w:tc>
        <w:tc>
          <w:tcPr>
            <w:tcW w:w="1420" w:type="dxa"/>
            <w:tcBorders>
              <w:tl2br w:val="nil"/>
              <w:tr2bl w:val="nil"/>
            </w:tcBorders>
            <w:shd w:val="clear" w:color="auto" w:fill="auto"/>
            <w:vAlign w:val="center"/>
          </w:tcPr>
          <w:p w14:paraId="4D94AD02">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CB1F3E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1020" w:hRule="atLeast"/>
          <w:jc w:val="center"/>
        </w:trPr>
        <w:tc>
          <w:tcPr>
            <w:tcW w:w="411" w:type="dxa"/>
            <w:vMerge w:val="continue"/>
            <w:tcBorders>
              <w:tl2br w:val="nil"/>
              <w:tr2bl w:val="nil"/>
            </w:tcBorders>
            <w:shd w:val="clear" w:color="auto" w:fill="auto"/>
            <w:vAlign w:val="center"/>
          </w:tcPr>
          <w:p w14:paraId="01557FCE">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BE2DFB8">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vAlign w:val="center"/>
          </w:tcPr>
          <w:p w14:paraId="6BE4F95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实时视频</w:t>
            </w:r>
          </w:p>
        </w:tc>
        <w:tc>
          <w:tcPr>
            <w:tcW w:w="1299" w:type="dxa"/>
            <w:tcBorders>
              <w:tl2br w:val="nil"/>
              <w:tr2bl w:val="nil"/>
            </w:tcBorders>
            <w:shd w:val="clear" w:color="auto" w:fill="auto"/>
            <w:vAlign w:val="center"/>
          </w:tcPr>
          <w:p w14:paraId="693403C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vAlign w:val="center"/>
          </w:tcPr>
          <w:p w14:paraId="169E335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支持手机移动端查看各泵站监控设备的实时视频。</w:t>
            </w:r>
          </w:p>
        </w:tc>
        <w:tc>
          <w:tcPr>
            <w:tcW w:w="1420" w:type="dxa"/>
            <w:tcBorders>
              <w:tl2br w:val="nil"/>
              <w:tr2bl w:val="nil"/>
            </w:tcBorders>
            <w:shd w:val="clear" w:color="auto" w:fill="auto"/>
            <w:vAlign w:val="center"/>
          </w:tcPr>
          <w:p w14:paraId="1FE3A6AC">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3D39BA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6E000D1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8B5B801">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vAlign w:val="center"/>
          </w:tcPr>
          <w:p w14:paraId="65FAED0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预警信息</w:t>
            </w:r>
          </w:p>
        </w:tc>
        <w:tc>
          <w:tcPr>
            <w:tcW w:w="1299" w:type="dxa"/>
            <w:tcBorders>
              <w:tl2br w:val="nil"/>
              <w:tr2bl w:val="nil"/>
            </w:tcBorders>
            <w:shd w:val="clear" w:color="auto" w:fill="auto"/>
            <w:vAlign w:val="center"/>
          </w:tcPr>
          <w:p w14:paraId="7582A86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vAlign w:val="center"/>
          </w:tcPr>
          <w:p w14:paraId="01616F4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通过在电脑端平台设定预警指标，手机移动端能够在设备出现异常时接收预警信息。</w:t>
            </w:r>
          </w:p>
        </w:tc>
        <w:tc>
          <w:tcPr>
            <w:tcW w:w="1420" w:type="dxa"/>
            <w:tcBorders>
              <w:tl2br w:val="nil"/>
              <w:tr2bl w:val="nil"/>
            </w:tcBorders>
            <w:shd w:val="clear" w:color="auto" w:fill="auto"/>
            <w:vAlign w:val="center"/>
          </w:tcPr>
          <w:p w14:paraId="0F036569">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8FF73A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E291995">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D159DE5">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1CE17C6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指挥调度</w:t>
            </w:r>
          </w:p>
        </w:tc>
        <w:tc>
          <w:tcPr>
            <w:tcW w:w="1299" w:type="dxa"/>
            <w:tcBorders>
              <w:tl2br w:val="nil"/>
              <w:tr2bl w:val="nil"/>
            </w:tcBorders>
            <w:shd w:val="clear" w:color="auto" w:fill="auto"/>
            <w:vAlign w:val="center"/>
          </w:tcPr>
          <w:p w14:paraId="4818FEC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指令接收</w:t>
            </w:r>
          </w:p>
        </w:tc>
        <w:tc>
          <w:tcPr>
            <w:tcW w:w="3975" w:type="dxa"/>
            <w:tcBorders>
              <w:tl2br w:val="nil"/>
              <w:tr2bl w:val="nil"/>
            </w:tcBorders>
            <w:shd w:val="clear" w:color="auto" w:fill="auto"/>
            <w:vAlign w:val="center"/>
          </w:tcPr>
          <w:p w14:paraId="68F69F2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通过移动端实时接收指挥中心平台发布的调度指令信息，可以点击查看指令详情，可以对指令信息进行反馈；</w:t>
            </w:r>
          </w:p>
        </w:tc>
        <w:tc>
          <w:tcPr>
            <w:tcW w:w="1420" w:type="dxa"/>
            <w:tcBorders>
              <w:tl2br w:val="nil"/>
              <w:tr2bl w:val="nil"/>
            </w:tcBorders>
            <w:shd w:val="clear" w:color="auto" w:fill="auto"/>
            <w:vAlign w:val="center"/>
          </w:tcPr>
          <w:p w14:paraId="70DEF211">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6F61C1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BD9E00E">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C736398">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EB186DC">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08B1852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到位确认</w:t>
            </w:r>
          </w:p>
        </w:tc>
        <w:tc>
          <w:tcPr>
            <w:tcW w:w="3975" w:type="dxa"/>
            <w:tcBorders>
              <w:tl2br w:val="nil"/>
              <w:tr2bl w:val="nil"/>
            </w:tcBorders>
            <w:shd w:val="clear" w:color="auto" w:fill="auto"/>
            <w:vAlign w:val="center"/>
          </w:tcPr>
          <w:p w14:paraId="74CA12E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移动端人员到达泵站指挥现场后，可以通过手机端定位设备、拍照等手段实现定位确认工作，以保证到达现场。</w:t>
            </w:r>
          </w:p>
        </w:tc>
        <w:tc>
          <w:tcPr>
            <w:tcW w:w="1420" w:type="dxa"/>
            <w:tcBorders>
              <w:tl2br w:val="nil"/>
              <w:tr2bl w:val="nil"/>
            </w:tcBorders>
            <w:shd w:val="clear" w:color="auto" w:fill="auto"/>
            <w:vAlign w:val="center"/>
          </w:tcPr>
          <w:p w14:paraId="2B062BA7">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C7C826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173E87E">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08BA2DF">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D139634">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5FA2775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视频会议</w:t>
            </w:r>
          </w:p>
        </w:tc>
        <w:tc>
          <w:tcPr>
            <w:tcW w:w="3975" w:type="dxa"/>
            <w:tcBorders>
              <w:tl2br w:val="nil"/>
              <w:tr2bl w:val="nil"/>
            </w:tcBorders>
            <w:shd w:val="clear" w:color="auto" w:fill="auto"/>
            <w:vAlign w:val="center"/>
          </w:tcPr>
          <w:p w14:paraId="3AEAD88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可以接收后端平台的对讲信息，针对语音对应内容实现接收后端发起的视频会议邀请，并能够加入会议。</w:t>
            </w:r>
          </w:p>
        </w:tc>
        <w:tc>
          <w:tcPr>
            <w:tcW w:w="1420" w:type="dxa"/>
            <w:tcBorders>
              <w:tl2br w:val="nil"/>
              <w:tr2bl w:val="nil"/>
            </w:tcBorders>
            <w:shd w:val="clear" w:color="auto" w:fill="auto"/>
            <w:vAlign w:val="center"/>
          </w:tcPr>
          <w:p w14:paraId="7A8E7399">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4157311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3926D91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5AD5272">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B5905A3">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3848855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视频回传</w:t>
            </w:r>
          </w:p>
        </w:tc>
        <w:tc>
          <w:tcPr>
            <w:tcW w:w="3975" w:type="dxa"/>
            <w:tcBorders>
              <w:tl2br w:val="nil"/>
              <w:tr2bl w:val="nil"/>
            </w:tcBorders>
            <w:shd w:val="clear" w:color="auto" w:fill="auto"/>
            <w:vAlign w:val="center"/>
          </w:tcPr>
          <w:p w14:paraId="759F699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通过调取手机端摄像头，可以实时查看现场处置情况。</w:t>
            </w:r>
          </w:p>
        </w:tc>
        <w:tc>
          <w:tcPr>
            <w:tcW w:w="1420" w:type="dxa"/>
            <w:tcBorders>
              <w:tl2br w:val="nil"/>
              <w:tr2bl w:val="nil"/>
            </w:tcBorders>
            <w:shd w:val="clear" w:color="auto" w:fill="auto"/>
            <w:vAlign w:val="center"/>
          </w:tcPr>
          <w:p w14:paraId="0699DEC6">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5E7A66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0A610B7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E449EA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052A0D0D">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7E49C3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语音对讲</w:t>
            </w:r>
          </w:p>
        </w:tc>
        <w:tc>
          <w:tcPr>
            <w:tcW w:w="3975" w:type="dxa"/>
            <w:tcBorders>
              <w:tl2br w:val="nil"/>
              <w:tr2bl w:val="nil"/>
            </w:tcBorders>
            <w:shd w:val="clear" w:color="auto" w:fill="auto"/>
            <w:vAlign w:val="center"/>
          </w:tcPr>
          <w:p w14:paraId="4DFE636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可以实现对应的对讲管理功能，满足前后端通话需求。</w:t>
            </w:r>
          </w:p>
        </w:tc>
        <w:tc>
          <w:tcPr>
            <w:tcW w:w="1420" w:type="dxa"/>
            <w:tcBorders>
              <w:tl2br w:val="nil"/>
              <w:tr2bl w:val="nil"/>
            </w:tcBorders>
            <w:shd w:val="clear" w:color="auto" w:fill="auto"/>
            <w:vAlign w:val="center"/>
          </w:tcPr>
          <w:p w14:paraId="33A6B2C5">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AB86AB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197C39B9">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9F1F97D">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57FD26F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泵房巡检</w:t>
            </w:r>
          </w:p>
        </w:tc>
        <w:tc>
          <w:tcPr>
            <w:tcW w:w="1299" w:type="dxa"/>
            <w:tcBorders>
              <w:tl2br w:val="nil"/>
              <w:tr2bl w:val="nil"/>
            </w:tcBorders>
            <w:shd w:val="clear" w:color="auto" w:fill="auto"/>
            <w:vAlign w:val="center"/>
          </w:tcPr>
          <w:p w14:paraId="71C5D45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开始巡查</w:t>
            </w:r>
          </w:p>
        </w:tc>
        <w:tc>
          <w:tcPr>
            <w:tcW w:w="3975" w:type="dxa"/>
            <w:tcBorders>
              <w:tl2br w:val="nil"/>
              <w:tr2bl w:val="nil"/>
            </w:tcBorders>
            <w:shd w:val="clear" w:color="auto" w:fill="auto"/>
            <w:vAlign w:val="center"/>
          </w:tcPr>
          <w:p w14:paraId="0AD87DD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现场巡检数据采集记录，对巡检中发现的各种设备、设施问题进行信息填报。</w:t>
            </w:r>
          </w:p>
        </w:tc>
        <w:tc>
          <w:tcPr>
            <w:tcW w:w="1420" w:type="dxa"/>
            <w:tcBorders>
              <w:tl2br w:val="nil"/>
              <w:tr2bl w:val="nil"/>
            </w:tcBorders>
            <w:shd w:val="clear" w:color="auto" w:fill="auto"/>
            <w:vAlign w:val="center"/>
          </w:tcPr>
          <w:p w14:paraId="26A81F7F">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A8774F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69F7E1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1D50203">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30E82B7">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463EA99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巡检确认</w:t>
            </w:r>
          </w:p>
        </w:tc>
        <w:tc>
          <w:tcPr>
            <w:tcW w:w="3975" w:type="dxa"/>
            <w:tcBorders>
              <w:tl2br w:val="nil"/>
              <w:tr2bl w:val="nil"/>
            </w:tcBorders>
            <w:shd w:val="clear" w:color="auto" w:fill="auto"/>
            <w:vAlign w:val="center"/>
          </w:tcPr>
          <w:p w14:paraId="55B7396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巡检人员按照一定的频率对泵站进行巡检后，需要管理人员对当次的巡检完成情况进行确认。</w:t>
            </w:r>
          </w:p>
        </w:tc>
        <w:tc>
          <w:tcPr>
            <w:tcW w:w="1420" w:type="dxa"/>
            <w:tcBorders>
              <w:tl2br w:val="nil"/>
              <w:tr2bl w:val="nil"/>
            </w:tcBorders>
            <w:shd w:val="clear" w:color="auto" w:fill="auto"/>
            <w:vAlign w:val="center"/>
          </w:tcPr>
          <w:p w14:paraId="59CEB0CB">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1EBC09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10A59A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B1F8C6C">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546BD85">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2C9B899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全部巡查</w:t>
            </w:r>
          </w:p>
        </w:tc>
        <w:tc>
          <w:tcPr>
            <w:tcW w:w="3975" w:type="dxa"/>
            <w:tcBorders>
              <w:tl2br w:val="nil"/>
              <w:tr2bl w:val="nil"/>
            </w:tcBorders>
            <w:shd w:val="clear" w:color="auto" w:fill="auto"/>
            <w:vAlign w:val="center"/>
          </w:tcPr>
          <w:p w14:paraId="18B9CF1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根据用户权限不同，可查看相关人员和相关站点的所有巡查记录。</w:t>
            </w:r>
          </w:p>
        </w:tc>
        <w:tc>
          <w:tcPr>
            <w:tcW w:w="1420" w:type="dxa"/>
            <w:tcBorders>
              <w:tl2br w:val="nil"/>
              <w:tr2bl w:val="nil"/>
            </w:tcBorders>
            <w:shd w:val="clear" w:color="auto" w:fill="auto"/>
            <w:vAlign w:val="center"/>
          </w:tcPr>
          <w:p w14:paraId="6B085AE8">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DDB805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063B5EE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1360EFA">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4142FC4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泵房保养</w:t>
            </w:r>
          </w:p>
        </w:tc>
        <w:tc>
          <w:tcPr>
            <w:tcW w:w="1299" w:type="dxa"/>
            <w:tcBorders>
              <w:tl2br w:val="nil"/>
              <w:tr2bl w:val="nil"/>
            </w:tcBorders>
            <w:shd w:val="clear" w:color="auto" w:fill="auto"/>
            <w:vAlign w:val="center"/>
          </w:tcPr>
          <w:p w14:paraId="5CD8132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保养计划</w:t>
            </w:r>
          </w:p>
        </w:tc>
        <w:tc>
          <w:tcPr>
            <w:tcW w:w="3975" w:type="dxa"/>
            <w:tcBorders>
              <w:tl2br w:val="nil"/>
              <w:tr2bl w:val="nil"/>
            </w:tcBorders>
            <w:shd w:val="clear" w:color="auto" w:fill="auto"/>
            <w:vAlign w:val="center"/>
          </w:tcPr>
          <w:p w14:paraId="66895EF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同步电脑端保养计划，可在手机移动端对各泵站的保养计划进行新增、确认启动。</w:t>
            </w:r>
          </w:p>
        </w:tc>
        <w:tc>
          <w:tcPr>
            <w:tcW w:w="1420" w:type="dxa"/>
            <w:tcBorders>
              <w:tl2br w:val="nil"/>
              <w:tr2bl w:val="nil"/>
            </w:tcBorders>
            <w:shd w:val="clear" w:color="auto" w:fill="auto"/>
            <w:vAlign w:val="center"/>
          </w:tcPr>
          <w:p w14:paraId="1237B375">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3FFC12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153F7AF7">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9EAD719">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33B198CE">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40C7B28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保养申请</w:t>
            </w:r>
          </w:p>
        </w:tc>
        <w:tc>
          <w:tcPr>
            <w:tcW w:w="3975" w:type="dxa"/>
            <w:tcBorders>
              <w:tl2br w:val="nil"/>
              <w:tr2bl w:val="nil"/>
            </w:tcBorders>
            <w:shd w:val="clear" w:color="auto" w:fill="auto"/>
            <w:vAlign w:val="center"/>
          </w:tcPr>
          <w:p w14:paraId="1823B83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支持手机移动端对泵站进行计划外的保养申请。</w:t>
            </w:r>
          </w:p>
        </w:tc>
        <w:tc>
          <w:tcPr>
            <w:tcW w:w="1420" w:type="dxa"/>
            <w:tcBorders>
              <w:tl2br w:val="nil"/>
              <w:tr2bl w:val="nil"/>
            </w:tcBorders>
            <w:shd w:val="clear" w:color="auto" w:fill="auto"/>
            <w:vAlign w:val="center"/>
          </w:tcPr>
          <w:p w14:paraId="5DD8DA7B">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3567B8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F6E8F29">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5FEF29A">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7674FA44">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18516D0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保养确认</w:t>
            </w:r>
          </w:p>
        </w:tc>
        <w:tc>
          <w:tcPr>
            <w:tcW w:w="3975" w:type="dxa"/>
            <w:tcBorders>
              <w:tl2br w:val="nil"/>
              <w:tr2bl w:val="nil"/>
            </w:tcBorders>
            <w:shd w:val="clear" w:color="auto" w:fill="auto"/>
            <w:vAlign w:val="center"/>
          </w:tcPr>
          <w:p w14:paraId="29773101">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对已进行保养的活动进行审核，通过后可直接归档在电脑端查看。</w:t>
            </w:r>
          </w:p>
        </w:tc>
        <w:tc>
          <w:tcPr>
            <w:tcW w:w="1420" w:type="dxa"/>
            <w:tcBorders>
              <w:tl2br w:val="nil"/>
              <w:tr2bl w:val="nil"/>
            </w:tcBorders>
            <w:shd w:val="clear" w:color="auto" w:fill="auto"/>
            <w:vAlign w:val="center"/>
          </w:tcPr>
          <w:p w14:paraId="46E562DB">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F6983A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661A4ADE">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EBF4415">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094235CB">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6DDA7BF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保养档案</w:t>
            </w:r>
          </w:p>
        </w:tc>
        <w:tc>
          <w:tcPr>
            <w:tcW w:w="3975" w:type="dxa"/>
            <w:tcBorders>
              <w:tl2br w:val="nil"/>
              <w:tr2bl w:val="nil"/>
            </w:tcBorders>
            <w:shd w:val="clear" w:color="auto" w:fill="auto"/>
            <w:vAlign w:val="center"/>
          </w:tcPr>
          <w:p w14:paraId="4B623F6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支持查看所有保养记录，包括已归档、待归档和保养中。</w:t>
            </w:r>
          </w:p>
        </w:tc>
        <w:tc>
          <w:tcPr>
            <w:tcW w:w="1420" w:type="dxa"/>
            <w:tcBorders>
              <w:tl2br w:val="nil"/>
              <w:tr2bl w:val="nil"/>
            </w:tcBorders>
            <w:shd w:val="clear" w:color="auto" w:fill="auto"/>
            <w:vAlign w:val="center"/>
          </w:tcPr>
          <w:p w14:paraId="4F697BFF">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25B112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270" w:hRule="atLeast"/>
          <w:jc w:val="center"/>
        </w:trPr>
        <w:tc>
          <w:tcPr>
            <w:tcW w:w="411" w:type="dxa"/>
            <w:vMerge w:val="continue"/>
            <w:tcBorders>
              <w:tl2br w:val="nil"/>
              <w:tr2bl w:val="nil"/>
            </w:tcBorders>
            <w:shd w:val="clear" w:color="auto" w:fill="auto"/>
            <w:vAlign w:val="center"/>
          </w:tcPr>
          <w:p w14:paraId="30258F96">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9D6FEC7">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5301DDC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事件管理</w:t>
            </w:r>
          </w:p>
        </w:tc>
        <w:tc>
          <w:tcPr>
            <w:tcW w:w="1299" w:type="dxa"/>
            <w:tcBorders>
              <w:tl2br w:val="nil"/>
              <w:tr2bl w:val="nil"/>
            </w:tcBorders>
            <w:shd w:val="clear" w:color="auto" w:fill="auto"/>
            <w:vAlign w:val="center"/>
          </w:tcPr>
          <w:p w14:paraId="27698FA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泵房维修</w:t>
            </w:r>
          </w:p>
        </w:tc>
        <w:tc>
          <w:tcPr>
            <w:tcW w:w="3975" w:type="dxa"/>
            <w:tcBorders>
              <w:tl2br w:val="nil"/>
              <w:tr2bl w:val="nil"/>
            </w:tcBorders>
            <w:shd w:val="clear" w:color="auto" w:fill="auto"/>
            <w:vAlign w:val="center"/>
          </w:tcPr>
          <w:p w14:paraId="26718AB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支持用户在手机移动端对泵站进行维修作业的信息上传。</w:t>
            </w:r>
          </w:p>
        </w:tc>
        <w:tc>
          <w:tcPr>
            <w:tcW w:w="1420" w:type="dxa"/>
            <w:tcBorders>
              <w:tl2br w:val="nil"/>
              <w:tr2bl w:val="nil"/>
            </w:tcBorders>
            <w:shd w:val="clear" w:color="auto" w:fill="auto"/>
            <w:vAlign w:val="center"/>
          </w:tcPr>
          <w:p w14:paraId="227D55E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FE880F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57B66037">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245CF5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50CB6A2">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53D2129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维修确认</w:t>
            </w:r>
          </w:p>
        </w:tc>
        <w:tc>
          <w:tcPr>
            <w:tcW w:w="3975" w:type="dxa"/>
            <w:tcBorders>
              <w:tl2br w:val="nil"/>
              <w:tr2bl w:val="nil"/>
            </w:tcBorders>
            <w:shd w:val="clear" w:color="auto" w:fill="auto"/>
            <w:vAlign w:val="center"/>
          </w:tcPr>
          <w:p w14:paraId="4FCA41B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维修人员完成维修作业后，需要相关管理人员对维修效果进行确认审核。</w:t>
            </w:r>
          </w:p>
        </w:tc>
        <w:tc>
          <w:tcPr>
            <w:tcW w:w="1420" w:type="dxa"/>
            <w:tcBorders>
              <w:tl2br w:val="nil"/>
              <w:tr2bl w:val="nil"/>
            </w:tcBorders>
            <w:shd w:val="clear" w:color="auto" w:fill="auto"/>
            <w:vAlign w:val="center"/>
          </w:tcPr>
          <w:p w14:paraId="0706455C">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E0A10A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7D2B4CF">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6592DA5">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46B597F3">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7B296EBF">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维修记录</w:t>
            </w:r>
          </w:p>
        </w:tc>
        <w:tc>
          <w:tcPr>
            <w:tcW w:w="3975" w:type="dxa"/>
            <w:tcBorders>
              <w:tl2br w:val="nil"/>
              <w:tr2bl w:val="nil"/>
            </w:tcBorders>
            <w:shd w:val="clear" w:color="auto" w:fill="auto"/>
            <w:vAlign w:val="center"/>
          </w:tcPr>
          <w:p w14:paraId="27C5076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手机移动端显示当前正在进行的维修记录，可点击进行信息填报。</w:t>
            </w:r>
          </w:p>
        </w:tc>
        <w:tc>
          <w:tcPr>
            <w:tcW w:w="1420" w:type="dxa"/>
            <w:tcBorders>
              <w:tl2br w:val="nil"/>
              <w:tr2bl w:val="nil"/>
            </w:tcBorders>
            <w:shd w:val="clear" w:color="auto" w:fill="auto"/>
            <w:vAlign w:val="center"/>
          </w:tcPr>
          <w:p w14:paraId="61A5043E">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45561F92">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9AF4183">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1AF2413">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vAlign w:val="center"/>
          </w:tcPr>
          <w:p w14:paraId="58CAF6FC">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安全管理</w:t>
            </w:r>
          </w:p>
        </w:tc>
        <w:tc>
          <w:tcPr>
            <w:tcW w:w="1299" w:type="dxa"/>
            <w:tcBorders>
              <w:tl2br w:val="nil"/>
              <w:tr2bl w:val="nil"/>
            </w:tcBorders>
            <w:shd w:val="clear" w:color="auto" w:fill="auto"/>
            <w:vAlign w:val="center"/>
          </w:tcPr>
          <w:p w14:paraId="2873B12B">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安全通知</w:t>
            </w:r>
          </w:p>
        </w:tc>
        <w:tc>
          <w:tcPr>
            <w:tcW w:w="3975" w:type="dxa"/>
            <w:tcBorders>
              <w:tl2br w:val="nil"/>
              <w:tr2bl w:val="nil"/>
            </w:tcBorders>
            <w:shd w:val="clear" w:color="auto" w:fill="auto"/>
            <w:vAlign w:val="center"/>
          </w:tcPr>
          <w:p w14:paraId="15DC3EF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支持手机APP移动端（仅支持安卓）接收安全通知、安全检查、安全会议、安全教育、安全活动等通知</w:t>
            </w:r>
          </w:p>
        </w:tc>
        <w:tc>
          <w:tcPr>
            <w:tcW w:w="1420" w:type="dxa"/>
            <w:tcBorders>
              <w:tl2br w:val="nil"/>
              <w:tr2bl w:val="nil"/>
            </w:tcBorders>
            <w:shd w:val="clear" w:color="auto" w:fill="auto"/>
            <w:vAlign w:val="center"/>
          </w:tcPr>
          <w:p w14:paraId="4E1AA715">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363967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0FA703A">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21CA2004">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235AE9E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泵房设备</w:t>
            </w:r>
          </w:p>
        </w:tc>
        <w:tc>
          <w:tcPr>
            <w:tcW w:w="1299" w:type="dxa"/>
            <w:tcBorders>
              <w:tl2br w:val="nil"/>
              <w:tr2bl w:val="nil"/>
            </w:tcBorders>
            <w:shd w:val="clear" w:color="auto" w:fill="auto"/>
            <w:vAlign w:val="center"/>
          </w:tcPr>
          <w:p w14:paraId="17CD461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设备管理</w:t>
            </w:r>
          </w:p>
        </w:tc>
        <w:tc>
          <w:tcPr>
            <w:tcW w:w="3975" w:type="dxa"/>
            <w:tcBorders>
              <w:tl2br w:val="nil"/>
              <w:tr2bl w:val="nil"/>
            </w:tcBorders>
            <w:shd w:val="clear" w:color="auto" w:fill="auto"/>
            <w:vAlign w:val="center"/>
          </w:tcPr>
          <w:p w14:paraId="3A23E3B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对泵站的设备进行管理，支持在手机移动端对相关设备信息进行查看、修改和删除，可增加设备信息。</w:t>
            </w:r>
          </w:p>
        </w:tc>
        <w:tc>
          <w:tcPr>
            <w:tcW w:w="1420" w:type="dxa"/>
            <w:tcBorders>
              <w:tl2br w:val="nil"/>
              <w:tr2bl w:val="nil"/>
            </w:tcBorders>
            <w:shd w:val="clear" w:color="auto" w:fill="auto"/>
            <w:vAlign w:val="center"/>
          </w:tcPr>
          <w:p w14:paraId="35B7596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55702E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765" w:hRule="atLeast"/>
          <w:jc w:val="center"/>
        </w:trPr>
        <w:tc>
          <w:tcPr>
            <w:tcW w:w="411" w:type="dxa"/>
            <w:vMerge w:val="continue"/>
            <w:tcBorders>
              <w:tl2br w:val="nil"/>
              <w:tr2bl w:val="nil"/>
            </w:tcBorders>
            <w:shd w:val="clear" w:color="auto" w:fill="auto"/>
            <w:vAlign w:val="center"/>
          </w:tcPr>
          <w:p w14:paraId="11A6F292">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4CD7EF8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0CEBC8FD">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3EDE72B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二维码泵房物资管理</w:t>
            </w:r>
          </w:p>
        </w:tc>
        <w:tc>
          <w:tcPr>
            <w:tcW w:w="3975" w:type="dxa"/>
            <w:tcBorders>
              <w:tl2br w:val="nil"/>
              <w:tr2bl w:val="nil"/>
            </w:tcBorders>
            <w:shd w:val="clear" w:color="auto" w:fill="auto"/>
            <w:vAlign w:val="center"/>
          </w:tcPr>
          <w:p w14:paraId="394BD8A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可以通过手机终端二维码实现泵站设备、物资的信息确认工作。</w:t>
            </w:r>
          </w:p>
        </w:tc>
        <w:tc>
          <w:tcPr>
            <w:tcW w:w="1420" w:type="dxa"/>
            <w:tcBorders>
              <w:tl2br w:val="nil"/>
              <w:tr2bl w:val="nil"/>
            </w:tcBorders>
            <w:shd w:val="clear" w:color="auto" w:fill="auto"/>
            <w:vAlign w:val="center"/>
          </w:tcPr>
          <w:p w14:paraId="7C481A47">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B81368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40C9991">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7A9FE08">
            <w:pPr>
              <w:jc w:val="both"/>
              <w:rPr>
                <w:rFonts w:hint="eastAsia" w:ascii="宋体" w:hAnsi="宋体" w:eastAsia="宋体" w:cs="宋体"/>
                <w:i w:val="0"/>
                <w:iCs w:val="0"/>
                <w:color w:val="000000"/>
                <w:sz w:val="20"/>
                <w:szCs w:val="20"/>
                <w:highlight w:val="none"/>
                <w:u w:val="none"/>
              </w:rPr>
            </w:pPr>
          </w:p>
        </w:tc>
        <w:tc>
          <w:tcPr>
            <w:tcW w:w="1078" w:type="dxa"/>
            <w:vMerge w:val="restart"/>
            <w:tcBorders>
              <w:tl2br w:val="nil"/>
              <w:tr2bl w:val="nil"/>
            </w:tcBorders>
            <w:shd w:val="clear" w:color="auto" w:fill="auto"/>
            <w:vAlign w:val="center"/>
          </w:tcPr>
          <w:p w14:paraId="7E7A1B4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台账管理</w:t>
            </w:r>
          </w:p>
        </w:tc>
        <w:tc>
          <w:tcPr>
            <w:tcW w:w="1299" w:type="dxa"/>
            <w:tcBorders>
              <w:tl2br w:val="nil"/>
              <w:tr2bl w:val="nil"/>
            </w:tcBorders>
            <w:shd w:val="clear" w:color="auto" w:fill="auto"/>
            <w:vAlign w:val="center"/>
          </w:tcPr>
          <w:p w14:paraId="3D7AF1B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巡查台账</w:t>
            </w:r>
          </w:p>
        </w:tc>
        <w:tc>
          <w:tcPr>
            <w:tcW w:w="3975" w:type="dxa"/>
            <w:tcBorders>
              <w:tl2br w:val="nil"/>
              <w:tr2bl w:val="nil"/>
            </w:tcBorders>
            <w:shd w:val="clear" w:color="auto" w:fill="auto"/>
            <w:vAlign w:val="center"/>
          </w:tcPr>
          <w:p w14:paraId="5D76E6B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同步电脑端台账信息，支持在手机移动端对巡查台账进行查看。</w:t>
            </w:r>
          </w:p>
        </w:tc>
        <w:tc>
          <w:tcPr>
            <w:tcW w:w="1420" w:type="dxa"/>
            <w:tcBorders>
              <w:tl2br w:val="nil"/>
              <w:tr2bl w:val="nil"/>
            </w:tcBorders>
            <w:shd w:val="clear" w:color="auto" w:fill="auto"/>
            <w:vAlign w:val="center"/>
          </w:tcPr>
          <w:p w14:paraId="0D96DD8D">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6D0EBDD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2F5E7A2F">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14D79DD">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5E8C0A8D">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7CDB01E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保养台账</w:t>
            </w:r>
          </w:p>
        </w:tc>
        <w:tc>
          <w:tcPr>
            <w:tcW w:w="3975" w:type="dxa"/>
            <w:tcBorders>
              <w:tl2br w:val="nil"/>
              <w:tr2bl w:val="nil"/>
            </w:tcBorders>
            <w:shd w:val="clear" w:color="auto" w:fill="auto"/>
            <w:vAlign w:val="center"/>
          </w:tcPr>
          <w:p w14:paraId="3A875BD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支持用户在手机移动端查看保养台账信息。</w:t>
            </w:r>
          </w:p>
        </w:tc>
        <w:tc>
          <w:tcPr>
            <w:tcW w:w="1420" w:type="dxa"/>
            <w:tcBorders>
              <w:tl2br w:val="nil"/>
              <w:tr2bl w:val="nil"/>
            </w:tcBorders>
            <w:shd w:val="clear" w:color="auto" w:fill="auto"/>
            <w:vAlign w:val="center"/>
          </w:tcPr>
          <w:p w14:paraId="680D0EB6">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2037B1C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3F131053">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5AF5D180">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6C5316E6">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09E297AE">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维修台账</w:t>
            </w:r>
          </w:p>
        </w:tc>
        <w:tc>
          <w:tcPr>
            <w:tcW w:w="3975" w:type="dxa"/>
            <w:tcBorders>
              <w:tl2br w:val="nil"/>
              <w:tr2bl w:val="nil"/>
            </w:tcBorders>
            <w:shd w:val="clear" w:color="auto" w:fill="auto"/>
            <w:vAlign w:val="center"/>
          </w:tcPr>
          <w:p w14:paraId="4E121A8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按月显示泵站的维修台账信息，可点击查看具体的维修记录信息。</w:t>
            </w:r>
          </w:p>
        </w:tc>
        <w:tc>
          <w:tcPr>
            <w:tcW w:w="1420" w:type="dxa"/>
            <w:tcBorders>
              <w:tl2br w:val="nil"/>
              <w:tr2bl w:val="nil"/>
            </w:tcBorders>
            <w:shd w:val="clear" w:color="auto" w:fill="auto"/>
            <w:vAlign w:val="center"/>
          </w:tcPr>
          <w:p w14:paraId="47BF846C">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5BB209F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5A09D14">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310C30E">
            <w:pPr>
              <w:jc w:val="both"/>
              <w:rPr>
                <w:rFonts w:hint="eastAsia" w:ascii="宋体" w:hAnsi="宋体" w:eastAsia="宋体" w:cs="宋体"/>
                <w:i w:val="0"/>
                <w:iCs w:val="0"/>
                <w:color w:val="000000"/>
                <w:sz w:val="20"/>
                <w:szCs w:val="20"/>
                <w:highlight w:val="none"/>
                <w:u w:val="none"/>
              </w:rPr>
            </w:pPr>
          </w:p>
        </w:tc>
        <w:tc>
          <w:tcPr>
            <w:tcW w:w="1078" w:type="dxa"/>
            <w:vMerge w:val="continue"/>
            <w:tcBorders>
              <w:tl2br w:val="nil"/>
              <w:tr2bl w:val="nil"/>
            </w:tcBorders>
            <w:shd w:val="clear" w:color="auto" w:fill="auto"/>
            <w:vAlign w:val="center"/>
          </w:tcPr>
          <w:p w14:paraId="160E2CC5">
            <w:pPr>
              <w:jc w:val="both"/>
              <w:rPr>
                <w:rFonts w:hint="eastAsia" w:ascii="宋体" w:hAnsi="宋体" w:eastAsia="宋体" w:cs="宋体"/>
                <w:i w:val="0"/>
                <w:iCs w:val="0"/>
                <w:color w:val="000000"/>
                <w:sz w:val="20"/>
                <w:szCs w:val="20"/>
                <w:highlight w:val="none"/>
                <w:u w:val="none"/>
              </w:rPr>
            </w:pPr>
          </w:p>
        </w:tc>
        <w:tc>
          <w:tcPr>
            <w:tcW w:w="1299" w:type="dxa"/>
            <w:tcBorders>
              <w:tl2br w:val="nil"/>
              <w:tr2bl w:val="nil"/>
            </w:tcBorders>
            <w:shd w:val="clear" w:color="auto" w:fill="auto"/>
            <w:vAlign w:val="center"/>
          </w:tcPr>
          <w:p w14:paraId="0733512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安全台账</w:t>
            </w:r>
          </w:p>
        </w:tc>
        <w:tc>
          <w:tcPr>
            <w:tcW w:w="3975" w:type="dxa"/>
            <w:tcBorders>
              <w:tl2br w:val="nil"/>
              <w:tr2bl w:val="nil"/>
            </w:tcBorders>
            <w:shd w:val="clear" w:color="auto" w:fill="auto"/>
            <w:vAlign w:val="center"/>
          </w:tcPr>
          <w:p w14:paraId="423AE85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可查看历史下发的的安全检查、安全通知、安全会议、安全教育、安全活动的信息记录。</w:t>
            </w:r>
          </w:p>
        </w:tc>
        <w:tc>
          <w:tcPr>
            <w:tcW w:w="1420" w:type="dxa"/>
            <w:tcBorders>
              <w:tl2br w:val="nil"/>
              <w:tr2bl w:val="nil"/>
            </w:tcBorders>
            <w:shd w:val="clear" w:color="auto" w:fill="auto"/>
            <w:vAlign w:val="center"/>
          </w:tcPr>
          <w:p w14:paraId="75290661">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1D92C42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3220191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3E4D6227">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vAlign w:val="center"/>
          </w:tcPr>
          <w:p w14:paraId="2FEE808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指导手册</w:t>
            </w:r>
          </w:p>
        </w:tc>
        <w:tc>
          <w:tcPr>
            <w:tcW w:w="1299" w:type="dxa"/>
            <w:tcBorders>
              <w:tl2br w:val="nil"/>
              <w:tr2bl w:val="nil"/>
            </w:tcBorders>
            <w:shd w:val="clear" w:color="auto" w:fill="auto"/>
            <w:vAlign w:val="center"/>
          </w:tcPr>
          <w:p w14:paraId="70E963E7">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vAlign w:val="center"/>
          </w:tcPr>
          <w:p w14:paraId="3032148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操作人员可随时查看，包含制度要求/泵房操作流程/保养注意等</w:t>
            </w:r>
          </w:p>
        </w:tc>
        <w:tc>
          <w:tcPr>
            <w:tcW w:w="1420" w:type="dxa"/>
            <w:tcBorders>
              <w:tl2br w:val="nil"/>
              <w:tr2bl w:val="nil"/>
            </w:tcBorders>
            <w:shd w:val="clear" w:color="auto" w:fill="auto"/>
            <w:vAlign w:val="center"/>
          </w:tcPr>
          <w:p w14:paraId="31A7D04F">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BFFB4A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6D259A58">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1C78CDF4">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vAlign w:val="center"/>
          </w:tcPr>
          <w:p w14:paraId="41952E75">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通讯录</w:t>
            </w:r>
          </w:p>
        </w:tc>
        <w:tc>
          <w:tcPr>
            <w:tcW w:w="1299" w:type="dxa"/>
            <w:tcBorders>
              <w:tl2br w:val="nil"/>
              <w:tr2bl w:val="nil"/>
            </w:tcBorders>
            <w:shd w:val="clear" w:color="auto" w:fill="auto"/>
            <w:vAlign w:val="center"/>
          </w:tcPr>
          <w:p w14:paraId="0A2B6AD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vAlign w:val="center"/>
          </w:tcPr>
          <w:p w14:paraId="1C04F17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按照不同的用户组，建立系统用户的通讯录，可直接在公众号拨打电话。</w:t>
            </w:r>
          </w:p>
        </w:tc>
        <w:tc>
          <w:tcPr>
            <w:tcW w:w="1420" w:type="dxa"/>
            <w:tcBorders>
              <w:tl2br w:val="nil"/>
              <w:tr2bl w:val="nil"/>
            </w:tcBorders>
            <w:shd w:val="clear" w:color="auto" w:fill="auto"/>
            <w:vAlign w:val="center"/>
          </w:tcPr>
          <w:p w14:paraId="743A95D7">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6E347C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restart"/>
            <w:tcBorders>
              <w:tl2br w:val="nil"/>
              <w:tr2bl w:val="nil"/>
            </w:tcBorders>
            <w:shd w:val="clear" w:color="auto" w:fill="auto"/>
            <w:vAlign w:val="center"/>
          </w:tcPr>
          <w:p w14:paraId="7AA296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664" w:type="dxa"/>
            <w:vMerge w:val="restart"/>
            <w:tcBorders>
              <w:tl2br w:val="nil"/>
              <w:tr2bl w:val="nil"/>
            </w:tcBorders>
            <w:shd w:val="clear" w:color="auto" w:fill="auto"/>
            <w:vAlign w:val="center"/>
          </w:tcPr>
          <w:p w14:paraId="5BDD0973">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后台管理系统升级</w:t>
            </w:r>
          </w:p>
        </w:tc>
        <w:tc>
          <w:tcPr>
            <w:tcW w:w="1078" w:type="dxa"/>
            <w:tcBorders>
              <w:tl2br w:val="nil"/>
              <w:tr2bl w:val="nil"/>
            </w:tcBorders>
            <w:shd w:val="clear" w:color="auto" w:fill="auto"/>
            <w:vAlign w:val="center"/>
          </w:tcPr>
          <w:p w14:paraId="1602941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数据安全管理</w:t>
            </w:r>
          </w:p>
        </w:tc>
        <w:tc>
          <w:tcPr>
            <w:tcW w:w="1299" w:type="dxa"/>
            <w:tcBorders>
              <w:tl2br w:val="nil"/>
              <w:tr2bl w:val="nil"/>
            </w:tcBorders>
            <w:shd w:val="clear" w:color="auto" w:fill="auto"/>
            <w:vAlign w:val="center"/>
          </w:tcPr>
          <w:p w14:paraId="0C5A2882">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vAlign w:val="center"/>
          </w:tcPr>
          <w:p w14:paraId="4E1A53F6">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升级数据安全管理功能，实现分权分域，针对远程控制通过引入多重验证实现安全控制功能。</w:t>
            </w:r>
          </w:p>
        </w:tc>
        <w:tc>
          <w:tcPr>
            <w:tcW w:w="1420" w:type="dxa"/>
            <w:tcBorders>
              <w:tl2br w:val="nil"/>
              <w:tr2bl w:val="nil"/>
            </w:tcBorders>
            <w:shd w:val="clear" w:color="auto" w:fill="auto"/>
            <w:vAlign w:val="center"/>
          </w:tcPr>
          <w:p w14:paraId="71758E55">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3FD3263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4A85071F">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63B7290F">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noWrap/>
            <w:vAlign w:val="center"/>
          </w:tcPr>
          <w:p w14:paraId="1E262F3D">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用户角色管理</w:t>
            </w:r>
          </w:p>
        </w:tc>
        <w:tc>
          <w:tcPr>
            <w:tcW w:w="1299" w:type="dxa"/>
            <w:tcBorders>
              <w:tl2br w:val="nil"/>
              <w:tr2bl w:val="nil"/>
            </w:tcBorders>
            <w:shd w:val="clear" w:color="auto" w:fill="auto"/>
            <w:noWrap/>
            <w:vAlign w:val="center"/>
          </w:tcPr>
          <w:p w14:paraId="31A6881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vAlign w:val="center"/>
          </w:tcPr>
          <w:p w14:paraId="118F73D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升级用户角色管理功能，确保系统用户管理的灵活性和安全性。</w:t>
            </w:r>
          </w:p>
        </w:tc>
        <w:tc>
          <w:tcPr>
            <w:tcW w:w="1420" w:type="dxa"/>
            <w:tcBorders>
              <w:tl2br w:val="nil"/>
              <w:tr2bl w:val="nil"/>
            </w:tcBorders>
            <w:shd w:val="clear" w:color="auto" w:fill="auto"/>
            <w:vAlign w:val="center"/>
          </w:tcPr>
          <w:p w14:paraId="15DB75C2">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CAA02E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510" w:hRule="atLeast"/>
          <w:jc w:val="center"/>
        </w:trPr>
        <w:tc>
          <w:tcPr>
            <w:tcW w:w="411" w:type="dxa"/>
            <w:vMerge w:val="continue"/>
            <w:tcBorders>
              <w:tl2br w:val="nil"/>
              <w:tr2bl w:val="nil"/>
            </w:tcBorders>
            <w:shd w:val="clear" w:color="auto" w:fill="auto"/>
            <w:vAlign w:val="center"/>
          </w:tcPr>
          <w:p w14:paraId="73AC538F">
            <w:pPr>
              <w:jc w:val="center"/>
              <w:rPr>
                <w:rFonts w:hint="eastAsia" w:ascii="宋体" w:hAnsi="宋体" w:eastAsia="宋体" w:cs="宋体"/>
                <w:i w:val="0"/>
                <w:iCs w:val="0"/>
                <w:color w:val="000000"/>
                <w:sz w:val="20"/>
                <w:szCs w:val="20"/>
                <w:highlight w:val="none"/>
                <w:u w:val="none"/>
              </w:rPr>
            </w:pPr>
          </w:p>
        </w:tc>
        <w:tc>
          <w:tcPr>
            <w:tcW w:w="664" w:type="dxa"/>
            <w:vMerge w:val="continue"/>
            <w:tcBorders>
              <w:tl2br w:val="nil"/>
              <w:tr2bl w:val="nil"/>
            </w:tcBorders>
            <w:shd w:val="clear" w:color="auto" w:fill="auto"/>
            <w:vAlign w:val="center"/>
          </w:tcPr>
          <w:p w14:paraId="0B6DEE4B">
            <w:pPr>
              <w:jc w:val="both"/>
              <w:rPr>
                <w:rFonts w:hint="eastAsia" w:ascii="宋体" w:hAnsi="宋体" w:eastAsia="宋体" w:cs="宋体"/>
                <w:i w:val="0"/>
                <w:iCs w:val="0"/>
                <w:color w:val="000000"/>
                <w:sz w:val="20"/>
                <w:szCs w:val="20"/>
                <w:highlight w:val="none"/>
                <w:u w:val="none"/>
              </w:rPr>
            </w:pPr>
          </w:p>
        </w:tc>
        <w:tc>
          <w:tcPr>
            <w:tcW w:w="1078" w:type="dxa"/>
            <w:tcBorders>
              <w:tl2br w:val="nil"/>
              <w:tr2bl w:val="nil"/>
            </w:tcBorders>
            <w:shd w:val="clear" w:color="auto" w:fill="auto"/>
            <w:vAlign w:val="center"/>
          </w:tcPr>
          <w:p w14:paraId="01BCC1A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系统日志管理</w:t>
            </w:r>
          </w:p>
        </w:tc>
        <w:tc>
          <w:tcPr>
            <w:tcW w:w="1299" w:type="dxa"/>
            <w:tcBorders>
              <w:tl2br w:val="nil"/>
              <w:tr2bl w:val="nil"/>
            </w:tcBorders>
            <w:shd w:val="clear" w:color="auto" w:fill="auto"/>
            <w:vAlign w:val="center"/>
          </w:tcPr>
          <w:p w14:paraId="51A62429">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975" w:type="dxa"/>
            <w:tcBorders>
              <w:tl2br w:val="nil"/>
              <w:tr2bl w:val="nil"/>
            </w:tcBorders>
            <w:shd w:val="clear" w:color="auto" w:fill="auto"/>
            <w:vAlign w:val="center"/>
          </w:tcPr>
          <w:p w14:paraId="0753B9E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增强系统日志管理功能，记录所有系统操作，确保可追溯性和安全性。</w:t>
            </w:r>
          </w:p>
        </w:tc>
        <w:tc>
          <w:tcPr>
            <w:tcW w:w="1420" w:type="dxa"/>
            <w:tcBorders>
              <w:tl2br w:val="nil"/>
              <w:tr2bl w:val="nil"/>
            </w:tcBorders>
            <w:shd w:val="clear" w:color="auto" w:fill="auto"/>
            <w:vAlign w:val="center"/>
          </w:tcPr>
          <w:p w14:paraId="135735FE">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71BE116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1861" w:hRule="atLeast"/>
          <w:jc w:val="center"/>
        </w:trPr>
        <w:tc>
          <w:tcPr>
            <w:tcW w:w="411" w:type="dxa"/>
            <w:tcBorders>
              <w:tl2br w:val="nil"/>
              <w:tr2bl w:val="nil"/>
            </w:tcBorders>
            <w:shd w:val="clear" w:color="auto" w:fill="auto"/>
            <w:vAlign w:val="center"/>
          </w:tcPr>
          <w:p w14:paraId="20E5A3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664" w:type="dxa"/>
            <w:tcBorders>
              <w:tl2br w:val="nil"/>
              <w:tr2bl w:val="nil"/>
            </w:tcBorders>
            <w:shd w:val="clear" w:color="auto" w:fill="auto"/>
            <w:vAlign w:val="center"/>
          </w:tcPr>
          <w:p w14:paraId="2EEBD114">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数据库及应用支撑升级</w:t>
            </w:r>
          </w:p>
        </w:tc>
        <w:tc>
          <w:tcPr>
            <w:tcW w:w="1078" w:type="dxa"/>
            <w:tcBorders>
              <w:tl2br w:val="nil"/>
              <w:tr2bl w:val="nil"/>
            </w:tcBorders>
            <w:shd w:val="clear" w:color="auto" w:fill="auto"/>
            <w:vAlign w:val="center"/>
          </w:tcPr>
          <w:p w14:paraId="18502E8A">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数据清洗转换</w:t>
            </w:r>
          </w:p>
        </w:tc>
        <w:tc>
          <w:tcPr>
            <w:tcW w:w="1299" w:type="dxa"/>
            <w:tcBorders>
              <w:tl2br w:val="nil"/>
              <w:tr2bl w:val="nil"/>
            </w:tcBorders>
            <w:shd w:val="clear" w:color="auto" w:fill="auto"/>
            <w:vAlign w:val="center"/>
          </w:tcPr>
          <w:p w14:paraId="66685D49">
            <w:pPr>
              <w:jc w:val="both"/>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w:t>
            </w:r>
          </w:p>
        </w:tc>
        <w:tc>
          <w:tcPr>
            <w:tcW w:w="3975" w:type="dxa"/>
            <w:tcBorders>
              <w:tl2br w:val="nil"/>
              <w:tr2bl w:val="nil"/>
            </w:tcBorders>
            <w:shd w:val="clear" w:color="auto" w:fill="auto"/>
            <w:vAlign w:val="center"/>
          </w:tcPr>
          <w:p w14:paraId="178C3B60">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全量设备监测运行数据的清洗转换、业务数据接口升级、应用支撑工具升级等，适配信创需求。</w:t>
            </w:r>
          </w:p>
        </w:tc>
        <w:tc>
          <w:tcPr>
            <w:tcW w:w="1420" w:type="dxa"/>
            <w:tcBorders>
              <w:tl2br w:val="nil"/>
              <w:tr2bl w:val="nil"/>
            </w:tcBorders>
            <w:shd w:val="clear" w:color="auto" w:fill="auto"/>
            <w:vAlign w:val="center"/>
          </w:tcPr>
          <w:p w14:paraId="16AA3E79">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软件和信息技术服务业</w:t>
            </w:r>
          </w:p>
        </w:tc>
      </w:tr>
      <w:tr w14:paraId="0A67CF1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1861" w:hRule="atLeast"/>
          <w:jc w:val="center"/>
        </w:trPr>
        <w:tc>
          <w:tcPr>
            <w:tcW w:w="411" w:type="dxa"/>
            <w:tcBorders>
              <w:tl2br w:val="nil"/>
              <w:tr2bl w:val="nil"/>
            </w:tcBorders>
            <w:shd w:val="clear" w:color="auto" w:fill="auto"/>
            <w:vAlign w:val="center"/>
          </w:tcPr>
          <w:p w14:paraId="4F3911B8">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9</w:t>
            </w:r>
          </w:p>
        </w:tc>
        <w:tc>
          <w:tcPr>
            <w:tcW w:w="664" w:type="dxa"/>
            <w:tcBorders>
              <w:tl2br w:val="nil"/>
              <w:tr2bl w:val="nil"/>
            </w:tcBorders>
            <w:shd w:val="clear" w:color="auto" w:fill="auto"/>
            <w:vAlign w:val="center"/>
          </w:tcPr>
          <w:p w14:paraId="49D7CF6C">
            <w:pPr>
              <w:keepNext w:val="0"/>
              <w:keepLines w:val="0"/>
              <w:widowControl/>
              <w:suppressLineNumbers w:val="0"/>
              <w:jc w:val="both"/>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系统对接</w:t>
            </w:r>
          </w:p>
        </w:tc>
        <w:tc>
          <w:tcPr>
            <w:tcW w:w="1078" w:type="dxa"/>
            <w:tcBorders>
              <w:tl2br w:val="nil"/>
              <w:tr2bl w:val="nil"/>
            </w:tcBorders>
            <w:shd w:val="clear" w:color="auto" w:fill="auto"/>
            <w:vAlign w:val="center"/>
          </w:tcPr>
          <w:p w14:paraId="409A2835">
            <w:pPr>
              <w:keepNext w:val="0"/>
              <w:keepLines w:val="0"/>
              <w:widowControl/>
              <w:suppressLineNumbers w:val="0"/>
              <w:jc w:val="both"/>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1299" w:type="dxa"/>
            <w:tcBorders>
              <w:tl2br w:val="nil"/>
              <w:tr2bl w:val="nil"/>
            </w:tcBorders>
            <w:shd w:val="clear" w:color="auto" w:fill="auto"/>
            <w:vAlign w:val="center"/>
          </w:tcPr>
          <w:p w14:paraId="51632FC2">
            <w:pPr>
              <w:jc w:val="both"/>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w:t>
            </w:r>
          </w:p>
        </w:tc>
        <w:tc>
          <w:tcPr>
            <w:tcW w:w="3975" w:type="dxa"/>
            <w:tcBorders>
              <w:tl2br w:val="nil"/>
              <w:tr2bl w:val="nil"/>
            </w:tcBorders>
            <w:shd w:val="clear" w:color="auto" w:fill="auto"/>
            <w:vAlign w:val="center"/>
          </w:tcPr>
          <w:p w14:paraId="303625EA">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国产化信创环境支持</w:t>
            </w:r>
          </w:p>
          <w:p w14:paraId="175D7A40">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与物联网平台的对接</w:t>
            </w:r>
          </w:p>
          <w:p w14:paraId="75DD2627">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与数据中台、与江阴市现有公路管理相关部门信息化系统对接</w:t>
            </w:r>
          </w:p>
        </w:tc>
        <w:tc>
          <w:tcPr>
            <w:tcW w:w="1420" w:type="dxa"/>
            <w:tcBorders>
              <w:tl2br w:val="nil"/>
              <w:tr2bl w:val="nil"/>
            </w:tcBorders>
            <w:shd w:val="clear" w:color="auto" w:fill="auto"/>
            <w:vAlign w:val="center"/>
          </w:tcPr>
          <w:p w14:paraId="22D3BF89">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软件和信息技术服务业</w:t>
            </w:r>
          </w:p>
        </w:tc>
      </w:tr>
    </w:tbl>
    <w:p w14:paraId="610BEF19">
      <w:pPr>
        <w:numPr>
          <w:ilvl w:val="2"/>
          <w:numId w:val="0"/>
        </w:numPr>
        <w:spacing w:line="400" w:lineRule="exact"/>
        <w:rPr>
          <w:rFonts w:hint="eastAsia" w:ascii="宋体" w:hAnsi="宋体" w:eastAsia="宋体" w:cs="宋体"/>
          <w:sz w:val="24"/>
          <w:highlight w:val="none"/>
          <w:lang w:val="en-US" w:eastAsia="zh-CN"/>
        </w:rPr>
      </w:pPr>
    </w:p>
    <w:p w14:paraId="7673F7A0">
      <w:pPr>
        <w:spacing w:line="400" w:lineRule="exact"/>
        <w:outlineLvl w:val="0"/>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三、主要技术参数：(打“</w:t>
      </w:r>
      <w:r>
        <w:rPr>
          <w:rFonts w:hint="eastAsia" w:ascii="宋体" w:hAnsi="宋体" w:cs="宋体"/>
          <w:b/>
          <w:bCs w:val="0"/>
          <w:sz w:val="28"/>
          <w:szCs w:val="28"/>
          <w:highlight w:val="none"/>
          <w:lang w:eastAsia="zh-CN"/>
        </w:rPr>
        <w:t>▲</w:t>
      </w:r>
      <w:r>
        <w:rPr>
          <w:rFonts w:hint="eastAsia" w:ascii="宋体" w:hAnsi="宋体" w:eastAsia="宋体" w:cs="宋体"/>
          <w:b/>
          <w:bCs w:val="0"/>
          <w:sz w:val="28"/>
          <w:szCs w:val="28"/>
          <w:highlight w:val="none"/>
        </w:rPr>
        <w:t>”项为重要技术参数</w:t>
      </w:r>
      <w:r>
        <w:rPr>
          <w:rFonts w:hint="eastAsia" w:ascii="宋体" w:hAnsi="宋体" w:cs="宋体"/>
          <w:b/>
          <w:bCs w:val="0"/>
          <w:sz w:val="28"/>
          <w:szCs w:val="28"/>
          <w:highlight w:val="none"/>
          <w:lang w:eastAsia="zh-CN"/>
        </w:rPr>
        <w:t>，</w:t>
      </w:r>
      <w:r>
        <w:rPr>
          <w:rFonts w:hint="eastAsia" w:ascii="宋体" w:hAnsi="宋体" w:eastAsia="宋体" w:cs="宋体"/>
          <w:b/>
          <w:bCs w:val="0"/>
          <w:sz w:val="28"/>
          <w:szCs w:val="28"/>
          <w:highlight w:val="none"/>
        </w:rPr>
        <w:t>打</w:t>
      </w:r>
      <w:r>
        <w:rPr>
          <w:rFonts w:hint="eastAsia" w:ascii="宋体" w:hAnsi="宋体" w:cs="宋体"/>
          <w:b/>
          <w:bCs w:val="0"/>
          <w:sz w:val="28"/>
          <w:szCs w:val="28"/>
          <w:highlight w:val="none"/>
          <w:lang w:eastAsia="zh-CN"/>
        </w:rPr>
        <w:t>“★”</w:t>
      </w:r>
      <w:r>
        <w:rPr>
          <w:rFonts w:hint="eastAsia" w:ascii="宋体" w:hAnsi="宋体" w:cs="宋体"/>
          <w:b/>
          <w:bCs w:val="0"/>
          <w:sz w:val="28"/>
          <w:szCs w:val="28"/>
          <w:highlight w:val="none"/>
          <w:lang w:val="en-US" w:eastAsia="zh-CN"/>
        </w:rPr>
        <w:t>为不可偏离项</w:t>
      </w:r>
      <w:r>
        <w:rPr>
          <w:rFonts w:hint="eastAsia" w:ascii="宋体" w:hAnsi="宋体" w:eastAsia="宋体" w:cs="宋体"/>
          <w:b/>
          <w:bCs w:val="0"/>
          <w:sz w:val="28"/>
          <w:szCs w:val="28"/>
          <w:highlight w:val="none"/>
        </w:rPr>
        <w:t>)</w:t>
      </w:r>
    </w:p>
    <w:p w14:paraId="573EBFCC">
      <w:pPr>
        <w:spacing w:line="276" w:lineRule="auto"/>
        <w:outlineLvl w:val="1"/>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3.1防火墙</w:t>
      </w:r>
    </w:p>
    <w:p w14:paraId="78CDB147">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1、业务接口：千兆电口8个，千兆光口2个，8G EMMC卡，2个扩展槽，双交流电源，高度1U。</w:t>
      </w:r>
    </w:p>
    <w:p w14:paraId="65DF62AB">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2、吞吐量4Gbps，并发连接100万,每秒新建2万。</w:t>
      </w:r>
    </w:p>
    <w:p w14:paraId="5B094C35">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3、设备支持配置回滚、配置对比,支持真实报文处理流程跟踪功能。</w:t>
      </w:r>
    </w:p>
    <w:p w14:paraId="76429F66">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4、支持IPSec VPN、L2TP VPN、GRE VPN、SSL VPN，并且全内置硬件加密芯片，配置SSL VPN并发用户10个。</w:t>
      </w:r>
    </w:p>
    <w:p w14:paraId="38C33180">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5、为便于运维，硬件面板应支持专门的一键重启按键，必要时可在不登录设备的情况下一键重启设备，提供设备实物图片。</w:t>
      </w:r>
    </w:p>
    <w:p w14:paraId="69F7D27A">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6、</w:t>
      </w:r>
      <w:r>
        <w:rPr>
          <w:rFonts w:hint="eastAsia" w:ascii="宋体" w:hAnsi="宋体" w:cs="宋体"/>
          <w:b/>
          <w:bCs w:val="0"/>
          <w:sz w:val="24"/>
          <w:highlight w:val="none"/>
          <w:lang w:val="en-US" w:eastAsia="zh-CN"/>
        </w:rPr>
        <w:t>▲</w:t>
      </w:r>
      <w:r>
        <w:rPr>
          <w:rFonts w:hint="eastAsia" w:ascii="宋体" w:hAnsi="宋体" w:eastAsia="宋体" w:cs="宋体"/>
          <w:b w:val="0"/>
          <w:bCs/>
          <w:sz w:val="24"/>
          <w:highlight w:val="none"/>
          <w:lang w:val="en-US" w:eastAsia="zh-CN"/>
        </w:rPr>
        <w:t>为便于运维，防火墙设备支持通过命令行（非简单ping命令）的方式对流经设备的数据流进行抓包分析，分析内容包含但不限于出和入接口及其状态、会话创建、NAT匹配结果、路由查询结果等，可快速定位造成故障的防火墙内部功能模块，便于进行故障排查</w:t>
      </w:r>
      <w:r>
        <w:rPr>
          <w:rFonts w:hint="eastAsia" w:ascii="宋体" w:hAnsi="宋体" w:cs="宋体"/>
          <w:b w:val="0"/>
          <w:bCs/>
          <w:sz w:val="24"/>
          <w:highlight w:val="none"/>
          <w:lang w:val="en-US" w:eastAsia="zh-CN"/>
        </w:rPr>
        <w:t>。</w:t>
      </w:r>
      <w:r>
        <w:rPr>
          <w:rFonts w:hint="eastAsia" w:ascii="宋体" w:hAnsi="宋体" w:eastAsia="宋体" w:cs="宋体"/>
          <w:b w:val="0"/>
          <w:bCs/>
          <w:sz w:val="24"/>
          <w:highlight w:val="none"/>
          <w:lang w:val="en-US" w:eastAsia="zh-CN"/>
        </w:rPr>
        <w:t>支持IPv6与IPv4互访，支持基于不同安全策略设定会话长连接老化时间，支持MPLS，支持IP信誉机制。</w:t>
      </w:r>
      <w:r>
        <w:rPr>
          <w:rFonts w:hint="eastAsia" w:ascii="宋体" w:hAnsi="宋体" w:eastAsia="宋体" w:cs="宋体"/>
          <w:b/>
          <w:bCs w:val="0"/>
          <w:sz w:val="24"/>
          <w:highlight w:val="none"/>
        </w:rPr>
        <w:t>(投标时需提供第三方权威机构出具的检测报告扫描件)</w:t>
      </w:r>
    </w:p>
    <w:p w14:paraId="2ECA18E8">
      <w:pPr>
        <w:spacing w:line="276" w:lineRule="auto"/>
        <w:outlineLvl w:val="9"/>
        <w:rPr>
          <w:rFonts w:hint="eastAsia"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7</w:t>
      </w:r>
      <w:r>
        <w:rPr>
          <w:rFonts w:hint="eastAsia" w:ascii="宋体" w:hAnsi="宋体" w:eastAsia="宋体" w:cs="宋体"/>
          <w:b w:val="0"/>
          <w:bCs/>
          <w:sz w:val="24"/>
          <w:highlight w:val="none"/>
          <w:lang w:val="en-US" w:eastAsia="zh-CN"/>
        </w:rPr>
        <w:t>、支持一对一、地址池等NAT方式；支持多种应用协议，如FTP、H.323、RAS、RTSP、SIP、ICMP、DNS、PPTP、NBT的NAT ALG功能。</w:t>
      </w:r>
    </w:p>
    <w:p w14:paraId="40B02331">
      <w:pPr>
        <w:spacing w:line="276" w:lineRule="auto"/>
        <w:outlineLvl w:val="9"/>
        <w:rPr>
          <w:rFonts w:hint="eastAsia"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8</w:t>
      </w:r>
      <w:r>
        <w:rPr>
          <w:rFonts w:hint="eastAsia" w:ascii="宋体" w:hAnsi="宋体" w:eastAsia="宋体" w:cs="宋体"/>
          <w:b w:val="0"/>
          <w:bCs/>
          <w:sz w:val="24"/>
          <w:highlight w:val="none"/>
          <w:lang w:val="en-US" w:eastAsia="zh-CN"/>
        </w:rPr>
        <w:t>、★为保证服务，要求设备注册地址为最终用户，通过设备序列号可查，出厂硬件五年质保，技术支持服务。</w:t>
      </w:r>
      <w:r>
        <w:rPr>
          <w:rFonts w:hint="eastAsia" w:ascii="宋体" w:hAnsi="宋体" w:cs="宋体"/>
          <w:b/>
          <w:bCs w:val="0"/>
          <w:sz w:val="24"/>
          <w:highlight w:val="none"/>
          <w:lang w:val="en-US" w:eastAsia="zh-CN"/>
        </w:rPr>
        <w:t>（投标时提供承诺函，格式自拟）</w:t>
      </w:r>
    </w:p>
    <w:p w14:paraId="7D552A09">
      <w:pPr>
        <w:bidi w:val="0"/>
        <w:rPr>
          <w:rFonts w:hint="eastAsia"/>
          <w:highlight w:val="none"/>
          <w:lang w:val="en-US" w:eastAsia="zh-CN"/>
        </w:rPr>
      </w:pPr>
    </w:p>
    <w:p w14:paraId="0F8E77A1">
      <w:pPr>
        <w:spacing w:line="276" w:lineRule="auto"/>
        <w:outlineLvl w:val="1"/>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3.2 24口安全交换机</w:t>
      </w:r>
    </w:p>
    <w:p w14:paraId="19FC59C0">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1、交换容量≥126Gbps，整机转发性能≥100Mpps，千兆电口≥24，千兆光口≥4。</w:t>
      </w:r>
    </w:p>
    <w:p w14:paraId="4F69AC01">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2、要求设备单端口支持的MAC地址用户数≥4k，支持静态路由、RIP、OSPF 。</w:t>
      </w:r>
    </w:p>
    <w:p w14:paraId="24F6E4BC">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3、为保障设备环境适应能力，要求设备支持0℃-70℃宽温工作。</w:t>
      </w:r>
    </w:p>
    <w:p w14:paraId="69421347">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4、支持识别终端接入IP、MAC、端口等信息，并关联用户身份</w:t>
      </w:r>
      <w:r>
        <w:rPr>
          <w:rFonts w:hint="eastAsia" w:ascii="宋体" w:hAnsi="宋体" w:cs="宋体"/>
          <w:b w:val="0"/>
          <w:bCs/>
          <w:sz w:val="24"/>
          <w:highlight w:val="none"/>
          <w:lang w:val="en-US" w:eastAsia="zh-CN"/>
        </w:rPr>
        <w:t>。</w:t>
      </w:r>
    </w:p>
    <w:p w14:paraId="6F12442E">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5、</w:t>
      </w:r>
      <w:r>
        <w:rPr>
          <w:rFonts w:hint="eastAsia" w:ascii="宋体" w:hAnsi="宋体" w:cs="宋体"/>
          <w:b/>
          <w:bCs w:val="0"/>
          <w:sz w:val="24"/>
          <w:highlight w:val="none"/>
          <w:lang w:val="en-US" w:eastAsia="zh-CN"/>
        </w:rPr>
        <w:t>▲</w:t>
      </w:r>
      <w:r>
        <w:rPr>
          <w:rFonts w:hint="eastAsia" w:ascii="宋体" w:hAnsi="宋体" w:eastAsia="宋体" w:cs="宋体"/>
          <w:b w:val="0"/>
          <w:bCs/>
          <w:sz w:val="24"/>
          <w:highlight w:val="none"/>
          <w:lang w:val="en-US" w:eastAsia="zh-CN"/>
        </w:rPr>
        <w:t>支持对疑似蠕虫病毒的传播行为进行溯源及阻断。设备支持IP扫描防护、UDP端口扫描防护、TCP端口扫描防护、ARP扫描防护等异常行为。</w:t>
      </w:r>
      <w:r>
        <w:rPr>
          <w:rFonts w:hint="eastAsia" w:ascii="宋体" w:hAnsi="宋体" w:eastAsia="宋体" w:cs="宋体"/>
          <w:b/>
          <w:bCs w:val="0"/>
          <w:sz w:val="24"/>
          <w:highlight w:val="none"/>
        </w:rPr>
        <w:t>(投标时需提供第三方权威机构出具的检测报告扫描件)</w:t>
      </w:r>
    </w:p>
    <w:p w14:paraId="085CFF0E">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6、支持“肉鸡”源主机的溯源及阻断。支持IP仿冒、MAC仿冒溯源与阻断.支持识别IPC等哑终端设备类型，并支持开启终端安全功能，只允许特定类型的设备接入网络，防HUB私接。</w:t>
      </w:r>
    </w:p>
    <w:p w14:paraId="2376E1E5">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7、★为保证服务，要求设备注册地址为最终用户，通过设备序列号可查，出厂硬件五年质保，技术支持服务。</w:t>
      </w:r>
      <w:r>
        <w:rPr>
          <w:rFonts w:hint="eastAsia" w:ascii="宋体" w:hAnsi="宋体" w:cs="宋体"/>
          <w:b/>
          <w:bCs w:val="0"/>
          <w:sz w:val="24"/>
          <w:highlight w:val="none"/>
          <w:lang w:val="en-US" w:eastAsia="zh-CN"/>
        </w:rPr>
        <w:t>（投标时提供承诺函，格式自拟）</w:t>
      </w:r>
    </w:p>
    <w:p w14:paraId="16E63F10">
      <w:pPr>
        <w:bidi w:val="0"/>
        <w:rPr>
          <w:rFonts w:hint="default"/>
          <w:highlight w:val="none"/>
          <w:lang w:val="en-US" w:eastAsia="zh-CN"/>
        </w:rPr>
      </w:pPr>
    </w:p>
    <w:p w14:paraId="5A3077B7">
      <w:pPr>
        <w:spacing w:line="276" w:lineRule="auto"/>
        <w:outlineLvl w:val="1"/>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3.</w:t>
      </w:r>
      <w:r>
        <w:rPr>
          <w:rFonts w:hint="eastAsia" w:ascii="宋体" w:hAnsi="宋体" w:cs="宋体"/>
          <w:b/>
          <w:sz w:val="24"/>
          <w:highlight w:val="none"/>
          <w:lang w:val="en-US" w:eastAsia="zh-CN"/>
        </w:rPr>
        <w:t>3</w:t>
      </w:r>
      <w:r>
        <w:rPr>
          <w:rFonts w:hint="eastAsia" w:ascii="宋体" w:hAnsi="宋体" w:eastAsia="宋体" w:cs="宋体"/>
          <w:b/>
          <w:sz w:val="24"/>
          <w:highlight w:val="none"/>
          <w:lang w:val="en-US" w:eastAsia="zh-CN"/>
        </w:rPr>
        <w:t>高清球机</w:t>
      </w:r>
    </w:p>
    <w:p w14:paraId="46C89DD1">
      <w:pPr>
        <w:numPr>
          <w:ilvl w:val="0"/>
          <w:numId w:val="3"/>
        </w:numPr>
        <w:spacing w:line="276" w:lineRule="auto"/>
        <w:jc w:val="left"/>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600万</w:t>
      </w:r>
      <w:r>
        <w:rPr>
          <w:rFonts w:hint="eastAsia" w:ascii="宋体" w:hAnsi="宋体" w:cs="宋体"/>
          <w:b w:val="0"/>
          <w:bCs/>
          <w:sz w:val="24"/>
          <w:highlight w:val="none"/>
          <w:lang w:val="en-US" w:eastAsia="zh-CN"/>
        </w:rPr>
        <w:t>像素，</w:t>
      </w:r>
      <w:r>
        <w:rPr>
          <w:rFonts w:hint="eastAsia" w:ascii="宋体" w:hAnsi="宋体" w:eastAsia="宋体" w:cs="宋体"/>
          <w:b w:val="0"/>
          <w:bCs/>
          <w:sz w:val="24"/>
          <w:highlight w:val="none"/>
          <w:lang w:val="en-US" w:eastAsia="zh-CN"/>
        </w:rPr>
        <w:t>设备内置不少于2个全景通道和1个细节通道，细节最大分辨率不小于2560*1440。</w:t>
      </w:r>
    </w:p>
    <w:p w14:paraId="1987C425">
      <w:pPr>
        <w:numPr>
          <w:ilvl w:val="0"/>
          <w:numId w:val="3"/>
        </w:numPr>
        <w:spacing w:line="276" w:lineRule="auto"/>
        <w:jc w:val="left"/>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【全景】1/1.8" Progressive Scan CMOS</w:t>
      </w:r>
      <w:r>
        <w:rPr>
          <w:rFonts w:hint="eastAsia" w:ascii="宋体" w:hAnsi="宋体" w:cs="宋体"/>
          <w:b w:val="0"/>
          <w:bCs/>
          <w:sz w:val="24"/>
          <w:highlight w:val="none"/>
          <w:lang w:val="en-US" w:eastAsia="zh-CN"/>
        </w:rPr>
        <w:t>，</w:t>
      </w:r>
      <w:r>
        <w:rPr>
          <w:rFonts w:hint="eastAsia" w:ascii="宋体" w:hAnsi="宋体" w:eastAsia="宋体" w:cs="宋体"/>
          <w:b w:val="0"/>
          <w:bCs/>
          <w:sz w:val="24"/>
          <w:highlight w:val="none"/>
          <w:lang w:val="en-US" w:eastAsia="zh-CN"/>
        </w:rPr>
        <w:t>【细节】1/2.8" Progressive Scan CMOS</w:t>
      </w:r>
    </w:p>
    <w:p w14:paraId="27D304B5">
      <w:pPr>
        <w:numPr>
          <w:ilvl w:val="0"/>
          <w:numId w:val="3"/>
        </w:num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支持最低照度可达彩色0.0002</w:t>
      </w:r>
      <w:r>
        <w:rPr>
          <w:rFonts w:hint="eastAsia" w:ascii="宋体" w:hAnsi="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lx，黑白0.0001</w:t>
      </w:r>
      <w:r>
        <w:rPr>
          <w:rFonts w:hint="eastAsia" w:ascii="宋体" w:hAnsi="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lx。</w:t>
      </w:r>
    </w:p>
    <w:p w14:paraId="1C109314">
      <w:pPr>
        <w:numPr>
          <w:ilvl w:val="0"/>
          <w:numId w:val="3"/>
        </w:num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支持白光补光不小于30米，红外补光不小于100米。</w:t>
      </w:r>
    </w:p>
    <w:p w14:paraId="74A5674F">
      <w:pPr>
        <w:numPr>
          <w:ilvl w:val="0"/>
          <w:numId w:val="3"/>
        </w:numPr>
        <w:spacing w:line="276" w:lineRule="auto"/>
        <w:outlineLvl w:val="9"/>
        <w:rPr>
          <w:rFonts w:hint="eastAsia" w:ascii="宋体" w:hAnsi="宋体" w:eastAsia="宋体" w:cs="宋体"/>
          <w:b/>
          <w:bCs w:val="0"/>
          <w:sz w:val="24"/>
          <w:highlight w:val="none"/>
          <w:lang w:val="en-US" w:eastAsia="zh-CN"/>
        </w:rPr>
      </w:pPr>
      <w:r>
        <w:rPr>
          <w:rFonts w:hint="eastAsia" w:ascii="宋体" w:hAnsi="宋体" w:cs="宋体"/>
          <w:b w:val="0"/>
          <w:bCs/>
          <w:sz w:val="24"/>
          <w:highlight w:val="none"/>
          <w:lang w:val="en-US" w:eastAsia="zh-CN"/>
        </w:rPr>
        <w:t>▲</w:t>
      </w:r>
      <w:r>
        <w:rPr>
          <w:rFonts w:hint="eastAsia" w:ascii="宋体" w:hAnsi="宋体" w:eastAsia="宋体" w:cs="宋体"/>
          <w:b w:val="0"/>
          <w:bCs/>
          <w:sz w:val="24"/>
          <w:highlight w:val="none"/>
          <w:lang w:val="en-US" w:eastAsia="zh-CN"/>
        </w:rPr>
        <w:t>全景支持拼接模式和非拼接模式，在拼接模式下，全景通道支持分辨率不小于3680×1656；在不拼接模式下，可输出2个全景通道，支持分辨率不小于1920×1632。全景通道1、2：支持水平:0°-90°，垂直0°-350°，轴心方向0°-350°。细节通道:水平:0°-360°垂直:-10°-90°。细节镜头、全景1镜头和全景2镜头可分开进行水平垂直方向调节，全景1镜头进行水平、垂直调节时，全景镜头2可保持不动；全景1镜头和全景2镜头进行水平垂直方向调节时，细节镜头可保持不变。全景通道1和全景通道2具备锁紧装置，在松开锁紧装置后，全景1通道和全景2通道可以进行水平和垂直调节。在紧固锁紧装置后，全景1通道和全景2通道不可以进行水平和垂直调节。</w:t>
      </w:r>
      <w:r>
        <w:rPr>
          <w:rFonts w:hint="eastAsia" w:ascii="宋体" w:hAnsi="宋体" w:eastAsia="宋体" w:cs="宋体"/>
          <w:b/>
          <w:bCs w:val="0"/>
          <w:sz w:val="24"/>
          <w:highlight w:val="none"/>
        </w:rPr>
        <w:t>(投标时需提供第三方权威机构出具的检测报告扫描件)</w:t>
      </w:r>
    </w:p>
    <w:p w14:paraId="0230400E">
      <w:pPr>
        <w:numPr>
          <w:ilvl w:val="0"/>
          <w:numId w:val="3"/>
        </w:num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设备支持不少于300个预置位，可按照所设置的预置位设置不少于8条巡航路径。支持H.264、H.265、MJPEG视频编码格式，可将H.264、H.265格式设置为HighProfile。</w:t>
      </w:r>
    </w:p>
    <w:p w14:paraId="5AE8FEFC">
      <w:pPr>
        <w:numPr>
          <w:ilvl w:val="0"/>
          <w:numId w:val="3"/>
        </w:num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细节通道可分别或同时对行人、非机动车、机动车进行检测、跟随、抓拍，支持人脸、车牌、非机动车车牌抠图，可将人脸与人体关联显示。支持非机动车逆行、载人、未戴头盔3种属性的报警，可联动语音播报，语音内容可自定义</w:t>
      </w:r>
    </w:p>
    <w:p w14:paraId="052E90E9">
      <w:pPr>
        <w:numPr>
          <w:ilvl w:val="0"/>
          <w:numId w:val="3"/>
        </w:numPr>
        <w:spacing w:line="276" w:lineRule="auto"/>
        <w:outlineLvl w:val="9"/>
        <w:rPr>
          <w:rFonts w:hint="eastAsia" w:ascii="宋体" w:hAnsi="宋体" w:eastAsia="宋体" w:cs="宋体"/>
          <w:b/>
          <w:bCs w:val="0"/>
          <w:sz w:val="24"/>
          <w:highlight w:val="none"/>
          <w:lang w:val="en-US" w:eastAsia="zh-CN"/>
        </w:rPr>
      </w:pPr>
      <w:r>
        <w:rPr>
          <w:rFonts w:hint="eastAsia" w:ascii="宋体" w:hAnsi="宋体" w:cs="宋体"/>
          <w:b w:val="0"/>
          <w:bCs/>
          <w:sz w:val="24"/>
          <w:highlight w:val="none"/>
          <w:lang w:val="en-US" w:eastAsia="zh-CN"/>
        </w:rPr>
        <w:t>▲</w:t>
      </w:r>
      <w:r>
        <w:rPr>
          <w:rFonts w:hint="eastAsia" w:ascii="宋体" w:hAnsi="宋体" w:eastAsia="宋体" w:cs="宋体"/>
          <w:b w:val="0"/>
          <w:bCs/>
          <w:sz w:val="24"/>
          <w:highlight w:val="none"/>
          <w:lang w:val="en-US" w:eastAsia="zh-CN"/>
        </w:rPr>
        <w:t>设备支持双安装接口，1个为快速旋转安装接口，1个为多孔稳定安装接口。</w:t>
      </w:r>
      <w:r>
        <w:rPr>
          <w:rFonts w:hint="eastAsia" w:ascii="宋体" w:hAnsi="宋体" w:eastAsia="宋体" w:cs="宋体"/>
          <w:b/>
          <w:bCs w:val="0"/>
          <w:sz w:val="24"/>
          <w:highlight w:val="none"/>
        </w:rPr>
        <w:t>(投标时需提供第三方权威机构出具的检测报告扫描件)</w:t>
      </w:r>
    </w:p>
    <w:p w14:paraId="28E7D4DA">
      <w:pPr>
        <w:numPr>
          <w:ilvl w:val="0"/>
          <w:numId w:val="3"/>
        </w:num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细节通道支持smart事件、全结构化模式，智能功能可任意选择保存生效。</w:t>
      </w:r>
    </w:p>
    <w:p w14:paraId="5ACDDCF9">
      <w:pPr>
        <w:numPr>
          <w:ilvl w:val="0"/>
          <w:numId w:val="3"/>
        </w:numPr>
        <w:spacing w:line="276" w:lineRule="auto"/>
        <w:outlineLvl w:val="9"/>
        <w:rPr>
          <w:rFonts w:hint="eastAsia" w:ascii="宋体" w:hAnsi="宋体" w:eastAsia="宋体" w:cs="宋体"/>
          <w:b/>
          <w:bCs w:val="0"/>
          <w:sz w:val="24"/>
          <w:highlight w:val="none"/>
          <w:lang w:val="en-US" w:eastAsia="zh-CN"/>
        </w:rPr>
      </w:pPr>
      <w:r>
        <w:rPr>
          <w:rFonts w:hint="eastAsia" w:ascii="宋体" w:hAnsi="宋体" w:cs="宋体"/>
          <w:b w:val="0"/>
          <w:bCs/>
          <w:sz w:val="24"/>
          <w:highlight w:val="none"/>
          <w:lang w:val="en-US" w:eastAsia="zh-CN"/>
        </w:rPr>
        <w:t>▲</w:t>
      </w:r>
      <w:r>
        <w:rPr>
          <w:rFonts w:hint="eastAsia" w:ascii="宋体" w:hAnsi="宋体" w:eastAsia="宋体" w:cs="宋体"/>
          <w:b w:val="0"/>
          <w:bCs/>
          <w:sz w:val="24"/>
          <w:highlight w:val="none"/>
          <w:lang w:val="en-US" w:eastAsia="zh-CN"/>
        </w:rPr>
        <w:t>全景通道支持一键拼接功能，可将2个全景画面进行拼接输出，在拼接模式下，设备可输出全景和细节2个视频画面，在非拼接模式下，设备可输出全景通道1、全景通道2和细节通道共3个视频画面。全景通道1和全景通道2分别内置1个麦克风，麦克风可随镜头一起进行旋转，旋转范围为：水平：0°～90°，垂直：0°～350°，轴心方向：0°～350°。</w:t>
      </w:r>
      <w:r>
        <w:rPr>
          <w:rFonts w:hint="eastAsia" w:ascii="宋体" w:hAnsi="宋体" w:eastAsia="宋体" w:cs="宋体"/>
          <w:b/>
          <w:bCs w:val="0"/>
          <w:sz w:val="24"/>
          <w:highlight w:val="none"/>
        </w:rPr>
        <w:t>(投标时需提供第三方权威机构出具的检测报告扫描件)</w:t>
      </w:r>
    </w:p>
    <w:p w14:paraId="7F69C7DC">
      <w:pPr>
        <w:numPr>
          <w:ilvl w:val="0"/>
          <w:numId w:val="3"/>
        </w:num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全景摄像机可输出2个镜头无缝拼接的全景图像，拼接后的全景画面水平视场角应≥175°，垂直视场角≥75°</w:t>
      </w:r>
      <w:r>
        <w:rPr>
          <w:rFonts w:hint="eastAsia" w:ascii="宋体" w:hAnsi="宋体" w:cs="宋体"/>
          <w:b w:val="0"/>
          <w:bCs/>
          <w:sz w:val="24"/>
          <w:highlight w:val="none"/>
          <w:lang w:val="en-US" w:eastAsia="zh-CN"/>
        </w:rPr>
        <w:t>。</w:t>
      </w:r>
    </w:p>
    <w:p w14:paraId="413E8418">
      <w:pPr>
        <w:numPr>
          <w:ilvl w:val="0"/>
          <w:numId w:val="3"/>
        </w:num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设备具有语音对讲设置</w:t>
      </w:r>
      <w:r>
        <w:rPr>
          <w:rFonts w:hint="eastAsia" w:ascii="宋体" w:hAnsi="宋体" w:cs="宋体"/>
          <w:b w:val="0"/>
          <w:bCs/>
          <w:sz w:val="24"/>
          <w:highlight w:val="none"/>
          <w:lang w:val="en-US" w:eastAsia="zh-CN"/>
        </w:rPr>
        <w:t>。</w:t>
      </w:r>
    </w:p>
    <w:p w14:paraId="25646D4F">
      <w:pPr>
        <w:numPr>
          <w:ilvl w:val="0"/>
          <w:numId w:val="3"/>
        </w:numPr>
        <w:spacing w:line="276" w:lineRule="auto"/>
        <w:outlineLvl w:val="9"/>
        <w:rPr>
          <w:rFonts w:hint="eastAsia" w:ascii="宋体" w:hAnsi="宋体" w:eastAsia="宋体" w:cs="宋体"/>
          <w:b/>
          <w:bCs/>
          <w:sz w:val="24"/>
          <w:highlight w:val="none"/>
        </w:rPr>
      </w:pPr>
      <w:r>
        <w:rPr>
          <w:rFonts w:hint="eastAsia" w:ascii="宋体" w:hAnsi="宋体" w:eastAsia="宋体" w:cs="宋体"/>
          <w:b w:val="0"/>
          <w:bCs/>
          <w:sz w:val="24"/>
          <w:highlight w:val="none"/>
          <w:lang w:val="en-US" w:eastAsia="zh-CN"/>
        </w:rPr>
        <w:t>设备支持不少于2路报警输入，不少于1路报警输出，不少于1路音频输入，不少于1路音频输出，不少于2个麦克风，不少于1个扬声器、不少于1个SD卡槽，不少于1个RJ45网口，不少于1个485接口。</w:t>
      </w:r>
    </w:p>
    <w:p w14:paraId="05BB6605">
      <w:pPr>
        <w:autoSpaceDN w:val="0"/>
        <w:spacing w:line="400" w:lineRule="exact"/>
        <w:ind w:firstLine="200"/>
        <w:contextualSpacing/>
        <w:rPr>
          <w:rFonts w:hint="eastAsia" w:ascii="宋体" w:hAnsi="宋体" w:eastAsia="宋体" w:cs="宋体"/>
          <w:b/>
          <w:bCs/>
          <w:sz w:val="24"/>
          <w:highlight w:val="none"/>
        </w:rPr>
      </w:pPr>
    </w:p>
    <w:p w14:paraId="3006929A">
      <w:pPr>
        <w:spacing w:line="276" w:lineRule="auto"/>
        <w:outlineLvl w:val="1"/>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3.</w:t>
      </w:r>
      <w:r>
        <w:rPr>
          <w:rFonts w:hint="eastAsia" w:ascii="宋体" w:hAnsi="宋体" w:cs="宋体"/>
          <w:b/>
          <w:sz w:val="24"/>
          <w:highlight w:val="none"/>
          <w:lang w:val="en-US" w:eastAsia="zh-CN"/>
        </w:rPr>
        <w:t>4</w:t>
      </w:r>
      <w:r>
        <w:rPr>
          <w:rFonts w:hint="eastAsia" w:ascii="宋体" w:hAnsi="宋体" w:eastAsia="宋体" w:cs="宋体"/>
          <w:b/>
          <w:sz w:val="24"/>
          <w:highlight w:val="none"/>
          <w:lang w:val="en-US" w:eastAsia="zh-CN"/>
        </w:rPr>
        <w:t>风光互补智慧监管平台系统</w:t>
      </w:r>
    </w:p>
    <w:p w14:paraId="273E4CA8">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1、实现风光新能源充放电管理，太阳能、风力发电各自工作状态、发电量及负载运行情况等关键指标监测与控制；</w:t>
      </w:r>
    </w:p>
    <w:p w14:paraId="15A931FC">
      <w:pPr>
        <w:spacing w:line="276" w:lineRule="auto"/>
        <w:outlineLvl w:val="9"/>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2、满足接入智慧泵站监管平台需求；</w:t>
      </w:r>
    </w:p>
    <w:p w14:paraId="45D0AF5D">
      <w:pPr>
        <w:spacing w:line="276" w:lineRule="auto"/>
        <w:outlineLvl w:val="9"/>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3、</w:t>
      </w:r>
      <w:r>
        <w:rPr>
          <w:rFonts w:hint="eastAsia" w:ascii="宋体" w:hAnsi="宋体" w:cs="宋体"/>
          <w:b/>
          <w:sz w:val="24"/>
          <w:highlight w:val="none"/>
          <w:lang w:val="en-US" w:eastAsia="zh-CN"/>
        </w:rPr>
        <w:t>▲为保证</w:t>
      </w:r>
      <w:r>
        <w:rPr>
          <w:rFonts w:hint="eastAsia" w:ascii="宋体" w:hAnsi="宋体" w:eastAsia="宋体" w:cs="宋体"/>
          <w:b/>
          <w:sz w:val="24"/>
          <w:highlight w:val="none"/>
          <w:lang w:val="en-US" w:eastAsia="zh-CN"/>
        </w:rPr>
        <w:t>平台系统</w:t>
      </w:r>
      <w:r>
        <w:rPr>
          <w:rFonts w:hint="eastAsia" w:ascii="宋体" w:hAnsi="宋体" w:cs="宋体"/>
          <w:b/>
          <w:sz w:val="24"/>
          <w:highlight w:val="none"/>
          <w:lang w:val="en-US" w:eastAsia="zh-CN"/>
        </w:rPr>
        <w:t>稳定性，平台需具有</w:t>
      </w:r>
      <w:r>
        <w:rPr>
          <w:rFonts w:hint="eastAsia" w:ascii="宋体" w:hAnsi="宋体" w:eastAsia="宋体" w:cs="宋体"/>
          <w:b/>
          <w:sz w:val="24"/>
          <w:highlight w:val="none"/>
          <w:lang w:val="en-US" w:eastAsia="zh-CN"/>
        </w:rPr>
        <w:t>风光发电类能源监管平台相关软著</w:t>
      </w:r>
      <w:r>
        <w:rPr>
          <w:rFonts w:hint="eastAsia" w:ascii="宋体" w:hAnsi="宋体" w:cs="宋体"/>
          <w:b/>
          <w:sz w:val="24"/>
          <w:highlight w:val="none"/>
          <w:lang w:val="en-US" w:eastAsia="zh-CN"/>
        </w:rPr>
        <w:t>(投标时需提供软件著作权扫描件）</w:t>
      </w:r>
    </w:p>
    <w:p w14:paraId="41D640D8">
      <w:pPr>
        <w:autoSpaceDN w:val="0"/>
        <w:spacing w:line="400" w:lineRule="exact"/>
        <w:ind w:firstLine="200"/>
        <w:contextualSpacing/>
        <w:rPr>
          <w:rFonts w:hint="eastAsia" w:ascii="宋体" w:hAnsi="宋体" w:eastAsia="宋体" w:cs="宋体"/>
          <w:b/>
          <w:bCs/>
          <w:sz w:val="24"/>
          <w:highlight w:val="none"/>
        </w:rPr>
      </w:pPr>
    </w:p>
    <w:p w14:paraId="047E261C">
      <w:pPr>
        <w:autoSpaceDN w:val="0"/>
        <w:spacing w:line="400" w:lineRule="exact"/>
        <w:ind w:firstLine="200"/>
        <w:contextualSpacing/>
        <w:rPr>
          <w:rFonts w:hint="eastAsia" w:ascii="宋体" w:hAnsi="宋体" w:eastAsia="宋体" w:cs="宋体"/>
          <w:b/>
          <w:bCs/>
          <w:sz w:val="24"/>
          <w:highlight w:val="none"/>
        </w:rPr>
      </w:pPr>
      <w:r>
        <w:rPr>
          <w:rFonts w:hint="eastAsia" w:ascii="宋体" w:hAnsi="宋体" w:eastAsia="宋体" w:cs="宋体"/>
          <w:b/>
          <w:bCs/>
          <w:sz w:val="24"/>
          <w:highlight w:val="none"/>
        </w:rPr>
        <w:t>备注：</w:t>
      </w:r>
    </w:p>
    <w:p w14:paraId="032C5276">
      <w:pPr>
        <w:numPr>
          <w:ilvl w:val="2"/>
          <w:numId w:val="0"/>
        </w:numPr>
        <w:spacing w:line="4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1、投标人提供的检测报告</w:t>
      </w:r>
      <w:r>
        <w:rPr>
          <w:rFonts w:hint="eastAsia" w:ascii="宋体" w:hAnsi="宋体" w:cs="宋体"/>
          <w:sz w:val="24"/>
          <w:highlight w:val="none"/>
          <w:lang w:val="en-US" w:eastAsia="zh-CN"/>
        </w:rPr>
        <w:t>等</w:t>
      </w:r>
      <w:r>
        <w:rPr>
          <w:rFonts w:hint="eastAsia" w:ascii="宋体" w:hAnsi="宋体" w:eastAsia="宋体" w:cs="宋体"/>
          <w:sz w:val="24"/>
          <w:highlight w:val="none"/>
        </w:rPr>
        <w:t>证明材料应将相关功能指标醒目标记，因未标记而导致的评审风险由投标人自行承担。</w:t>
      </w:r>
    </w:p>
    <w:p w14:paraId="1CAA247D">
      <w:pPr>
        <w:autoSpaceDN w:val="0"/>
        <w:spacing w:line="400" w:lineRule="exact"/>
        <w:ind w:firstLine="482" w:firstLineChars="200"/>
        <w:contextualSpacing/>
        <w:rPr>
          <w:rFonts w:hint="eastAsia" w:ascii="宋体" w:hAnsi="宋体" w:eastAsia="宋体" w:cs="宋体"/>
          <w:b/>
          <w:kern w:val="0"/>
          <w:sz w:val="24"/>
          <w:highlight w:val="none"/>
        </w:rPr>
      </w:pPr>
      <w:r>
        <w:rPr>
          <w:rFonts w:hint="eastAsia" w:ascii="宋体" w:hAnsi="宋体" w:eastAsia="宋体" w:cs="宋体"/>
          <w:b/>
          <w:sz w:val="24"/>
          <w:highlight w:val="none"/>
        </w:rPr>
        <w:t>2、</w:t>
      </w:r>
      <w:r>
        <w:rPr>
          <w:rFonts w:hint="eastAsia" w:ascii="宋体" w:hAnsi="宋体" w:eastAsia="宋体" w:cs="宋体"/>
          <w:b/>
          <w:kern w:val="0"/>
          <w:sz w:val="24"/>
          <w:highlight w:val="none"/>
        </w:rPr>
        <w:t>采购清单中如有涉及数据库、操作系统、通用服务器、工作站、一体式计算机、便携式计算机、台式计算机等七种软硬件的，投标产品必须符合安全可靠测评要求。</w:t>
      </w:r>
    </w:p>
    <w:p w14:paraId="1E1570E2">
      <w:pPr>
        <w:numPr>
          <w:ilvl w:val="2"/>
          <w:numId w:val="0"/>
        </w:numPr>
        <w:spacing w:line="4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3、本项目核心产品为：</w:t>
      </w:r>
    </w:p>
    <w:tbl>
      <w:tblPr>
        <w:tblStyle w:val="32"/>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3133"/>
        <w:gridCol w:w="4723"/>
      </w:tblGrid>
      <w:tr w14:paraId="3D18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noWrap w:val="0"/>
            <w:vAlign w:val="top"/>
          </w:tcPr>
          <w:p w14:paraId="75168DC3">
            <w:pPr>
              <w:spacing w:line="400" w:lineRule="exact"/>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rPr>
              <w:t>序号</w:t>
            </w:r>
          </w:p>
        </w:tc>
        <w:tc>
          <w:tcPr>
            <w:tcW w:w="3133" w:type="dxa"/>
            <w:noWrap w:val="0"/>
            <w:vAlign w:val="top"/>
          </w:tcPr>
          <w:p w14:paraId="79724051">
            <w:pPr>
              <w:spacing w:line="400" w:lineRule="exact"/>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rPr>
              <w:t>核心设备名称</w:t>
            </w:r>
          </w:p>
        </w:tc>
        <w:tc>
          <w:tcPr>
            <w:tcW w:w="4723" w:type="dxa"/>
            <w:noWrap w:val="0"/>
            <w:vAlign w:val="top"/>
          </w:tcPr>
          <w:p w14:paraId="4A228244">
            <w:pPr>
              <w:spacing w:line="400" w:lineRule="exact"/>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rPr>
              <w:t>所在子系统名称</w:t>
            </w:r>
          </w:p>
        </w:tc>
      </w:tr>
      <w:tr w14:paraId="1ED7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noWrap w:val="0"/>
            <w:vAlign w:val="center"/>
          </w:tcPr>
          <w:p w14:paraId="47215B58">
            <w:pPr>
              <w:spacing w:line="400" w:lineRule="exact"/>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A</w:t>
            </w:r>
          </w:p>
        </w:tc>
        <w:tc>
          <w:tcPr>
            <w:tcW w:w="3133" w:type="dxa"/>
            <w:noWrap w:val="0"/>
            <w:vAlign w:val="center"/>
          </w:tcPr>
          <w:p w14:paraId="0F9D2238">
            <w:pPr>
              <w:spacing w:line="400" w:lineRule="exact"/>
              <w:ind w:firstLine="480" w:firstLineChars="200"/>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PLC可编程采集控制器</w:t>
            </w:r>
          </w:p>
        </w:tc>
        <w:tc>
          <w:tcPr>
            <w:tcW w:w="4723" w:type="dxa"/>
            <w:noWrap w:val="0"/>
            <w:vAlign w:val="center"/>
          </w:tcPr>
          <w:p w14:paraId="5C79510B">
            <w:pPr>
              <w:spacing w:line="400" w:lineRule="exact"/>
              <w:ind w:firstLine="480" w:firstLineChars="200"/>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现地智控设施升级改造</w:t>
            </w:r>
          </w:p>
        </w:tc>
      </w:tr>
      <w:tr w14:paraId="71041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noWrap w:val="0"/>
            <w:vAlign w:val="center"/>
          </w:tcPr>
          <w:p w14:paraId="41A9E7BA">
            <w:pPr>
              <w:spacing w:line="40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B</w:t>
            </w:r>
          </w:p>
        </w:tc>
        <w:tc>
          <w:tcPr>
            <w:tcW w:w="3133" w:type="dxa"/>
            <w:shd w:val="clear" w:color="auto" w:fill="auto"/>
            <w:noWrap w:val="0"/>
            <w:vAlign w:val="center"/>
          </w:tcPr>
          <w:p w14:paraId="4134A78E">
            <w:pPr>
              <w:spacing w:line="400" w:lineRule="exact"/>
              <w:ind w:firstLine="480" w:firstLineChars="200"/>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高清球机</w:t>
            </w:r>
          </w:p>
        </w:tc>
        <w:tc>
          <w:tcPr>
            <w:tcW w:w="4723" w:type="dxa"/>
            <w:shd w:val="clear" w:color="auto" w:fill="auto"/>
            <w:noWrap w:val="0"/>
            <w:vAlign w:val="center"/>
          </w:tcPr>
          <w:p w14:paraId="175976D8">
            <w:pPr>
              <w:spacing w:line="40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highlight w:val="none"/>
              </w:rPr>
              <w:t>泵站智能化建设（纺织市场及澄张路泵站）</w:t>
            </w:r>
          </w:p>
        </w:tc>
      </w:tr>
    </w:tbl>
    <w:p w14:paraId="12D37251">
      <w:pPr>
        <w:autoSpaceDN w:val="0"/>
        <w:spacing w:line="40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通过资格审查、符合性审查的多家投标人提供的</w:t>
      </w:r>
      <w:r>
        <w:rPr>
          <w:rFonts w:hint="eastAsia" w:ascii="宋体" w:hAnsi="宋体" w:eastAsia="宋体" w:cs="宋体"/>
          <w:b/>
          <w:bCs/>
          <w:sz w:val="24"/>
          <w:highlight w:val="none"/>
        </w:rPr>
        <w:t>任一核心产品品牌相同</w:t>
      </w:r>
      <w:r>
        <w:rPr>
          <w:rFonts w:hint="eastAsia" w:ascii="宋体" w:hAnsi="宋体" w:eastAsia="宋体" w:cs="宋体"/>
          <w:sz w:val="24"/>
          <w:highlight w:val="none"/>
        </w:rPr>
        <w:t>的，按一家投标人计算，评审后得分最高的同品牌投标人获得中标人推荐资格；评审得分相同的，由采购人或者采购人委托评标委员会按照招标文件规定的方式确定一个投标人获得中标人推荐资格。</w:t>
      </w:r>
    </w:p>
    <w:p w14:paraId="32C03495">
      <w:pPr>
        <w:spacing w:line="40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4</w:t>
      </w:r>
      <w:r>
        <w:rPr>
          <w:rFonts w:hint="eastAsia" w:ascii="宋体" w:hAnsi="宋体" w:eastAsia="宋体" w:cs="宋体"/>
          <w:bCs/>
          <w:sz w:val="24"/>
          <w:highlight w:val="none"/>
        </w:rPr>
        <w:t>、投标单位可对现场进行勘查（不统一组织，投标单位可与采购单位直接联系安排，因投标单位不进行现场勘查造成辅材附件费用计算不准等的后果均由</w:t>
      </w:r>
      <w:r>
        <w:rPr>
          <w:rFonts w:hint="eastAsia" w:ascii="宋体" w:hAnsi="宋体" w:cs="宋体"/>
          <w:bCs/>
          <w:sz w:val="24"/>
          <w:highlight w:val="none"/>
          <w:lang w:eastAsia="zh-CN"/>
        </w:rPr>
        <w:t>投标单位</w:t>
      </w:r>
      <w:r>
        <w:rPr>
          <w:rFonts w:hint="eastAsia" w:ascii="宋体" w:hAnsi="宋体" w:eastAsia="宋体" w:cs="宋体"/>
          <w:bCs/>
          <w:sz w:val="24"/>
          <w:highlight w:val="none"/>
        </w:rPr>
        <w:t>自己负责）。</w:t>
      </w:r>
    </w:p>
    <w:p w14:paraId="797BC8E4">
      <w:pPr>
        <w:spacing w:line="400" w:lineRule="exact"/>
        <w:ind w:firstLine="480" w:firstLineChars="200"/>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5</w:t>
      </w:r>
      <w:r>
        <w:rPr>
          <w:rFonts w:hint="eastAsia" w:ascii="宋体" w:hAnsi="宋体" w:eastAsia="宋体" w:cs="宋体"/>
          <w:bCs/>
          <w:sz w:val="24"/>
          <w:highlight w:val="none"/>
        </w:rPr>
        <w:t>、</w:t>
      </w:r>
      <w:r>
        <w:rPr>
          <w:rFonts w:hint="eastAsia" w:ascii="宋体" w:hAnsi="宋体"/>
          <w:sz w:val="24"/>
          <w:highlight w:val="none"/>
        </w:rPr>
        <w:t>本项目知识产权及全套源代码归属</w:t>
      </w:r>
      <w:r>
        <w:rPr>
          <w:rFonts w:hint="eastAsia" w:ascii="宋体" w:hAnsi="宋体"/>
          <w:sz w:val="24"/>
          <w:highlight w:val="none"/>
          <w:lang w:val="en-US" w:eastAsia="zh-CN"/>
        </w:rPr>
        <w:t>招标人</w:t>
      </w:r>
      <w:r>
        <w:rPr>
          <w:rFonts w:hint="eastAsia" w:ascii="宋体" w:hAnsi="宋体"/>
          <w:sz w:val="24"/>
          <w:highlight w:val="none"/>
        </w:rPr>
        <w:t>，未经</w:t>
      </w:r>
      <w:r>
        <w:rPr>
          <w:rFonts w:hint="eastAsia" w:ascii="宋体" w:hAnsi="宋体"/>
          <w:sz w:val="24"/>
          <w:highlight w:val="none"/>
          <w:lang w:val="en-US" w:eastAsia="zh-CN"/>
        </w:rPr>
        <w:t>招标人</w:t>
      </w:r>
      <w:r>
        <w:rPr>
          <w:rFonts w:hint="eastAsia" w:ascii="宋体" w:hAnsi="宋体"/>
          <w:sz w:val="24"/>
          <w:highlight w:val="none"/>
        </w:rPr>
        <w:t>同意投标人不得利用本项目研究成果进行经营性行为，否则</w:t>
      </w:r>
      <w:r>
        <w:rPr>
          <w:rFonts w:hint="eastAsia" w:ascii="宋体" w:hAnsi="宋体"/>
          <w:sz w:val="24"/>
          <w:highlight w:val="none"/>
          <w:lang w:val="en-US" w:eastAsia="zh-CN"/>
        </w:rPr>
        <w:t>招标人</w:t>
      </w:r>
      <w:r>
        <w:rPr>
          <w:rFonts w:hint="eastAsia" w:ascii="宋体" w:hAnsi="宋体"/>
          <w:sz w:val="24"/>
          <w:highlight w:val="none"/>
        </w:rPr>
        <w:t>有权要求</w:t>
      </w:r>
      <w:r>
        <w:rPr>
          <w:rFonts w:hint="eastAsia" w:ascii="宋体" w:hAnsi="宋体"/>
          <w:sz w:val="24"/>
          <w:highlight w:val="none"/>
          <w:lang w:val="en-US" w:eastAsia="zh-CN"/>
        </w:rPr>
        <w:t>乙方</w:t>
      </w:r>
      <w:r>
        <w:rPr>
          <w:rFonts w:hint="eastAsia" w:ascii="宋体" w:hAnsi="宋体"/>
          <w:sz w:val="24"/>
          <w:highlight w:val="none"/>
        </w:rPr>
        <w:t>返回所有通过本项目知识产权进行的经营所得。</w:t>
      </w:r>
    </w:p>
    <w:p w14:paraId="4495F987">
      <w:pPr>
        <w:spacing w:line="400" w:lineRule="exact"/>
        <w:ind w:firstLine="200"/>
        <w:rPr>
          <w:rFonts w:hint="eastAsia" w:ascii="宋体" w:hAnsi="宋体" w:eastAsia="宋体" w:cs="宋体"/>
          <w:bCs/>
          <w:sz w:val="28"/>
          <w:szCs w:val="28"/>
          <w:highlight w:val="none"/>
        </w:rPr>
      </w:pPr>
    </w:p>
    <w:p w14:paraId="36381229">
      <w:pPr>
        <w:spacing w:line="400" w:lineRule="exact"/>
        <w:outlineLvl w:val="0"/>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四、运输、安装、调试要求：</w:t>
      </w:r>
    </w:p>
    <w:p w14:paraId="195B3C76">
      <w:pPr>
        <w:spacing w:line="4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1、在所有设备的运输过程中，必须严格按标准保护措施进行包装，包装符合远距离运输、防潮、防震、防锈和防野蛮装卸等要求，能确保货物安全无损地运抵目的地。</w:t>
      </w:r>
    </w:p>
    <w:p w14:paraId="56B6B1BD">
      <w:pPr>
        <w:spacing w:line="4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2、投标人设备交货时，需包装完整无损坏，提供产品保修单、装箱单以及产品的主要材料、五金配件的质检报告、产品的合格证。</w:t>
      </w:r>
    </w:p>
    <w:p w14:paraId="7D0EB618">
      <w:pPr>
        <w:spacing w:line="4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3、投标人负责本项目的安装和调试，并保证其提供的货物符合国家、行业、地方、招标文件要求和投标人投标文件及合同规定的质量、性能和标准，并正确且安全地安装。</w:t>
      </w:r>
    </w:p>
    <w:p w14:paraId="64403894">
      <w:pPr>
        <w:spacing w:line="400" w:lineRule="exact"/>
        <w:ind w:firstLine="200"/>
        <w:rPr>
          <w:rFonts w:hint="eastAsia" w:ascii="宋体" w:hAnsi="宋体" w:eastAsia="宋体" w:cs="宋体"/>
          <w:bCs/>
          <w:sz w:val="28"/>
          <w:szCs w:val="28"/>
          <w:highlight w:val="none"/>
        </w:rPr>
      </w:pPr>
    </w:p>
    <w:p w14:paraId="7D75CB69">
      <w:pPr>
        <w:spacing w:line="400" w:lineRule="exact"/>
        <w:outlineLvl w:val="0"/>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五、培训要求：</w:t>
      </w:r>
    </w:p>
    <w:p w14:paraId="433C8292">
      <w:pPr>
        <w:spacing w:line="4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1、须提供符合本项目包含的各系统的详细培训方案；</w:t>
      </w:r>
    </w:p>
    <w:p w14:paraId="60305178">
      <w:pPr>
        <w:spacing w:line="4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2、培训人数：所有设备及软件使用人员、相关技术人员；</w:t>
      </w:r>
    </w:p>
    <w:p w14:paraId="5BD7D537">
      <w:pPr>
        <w:spacing w:line="4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培训内容：须向操作及维护人员提供各系统点位布置（包括前端点位、机房设备）介绍、设备使用、配置、维护等相关内容以及各系统的应用培训，确保用户操作及维护人员能够对各系统足够了解和熟悉，能够独立进行系统的日常维护、使用和管理。</w:t>
      </w:r>
    </w:p>
    <w:p w14:paraId="12FD7502">
      <w:pPr>
        <w:spacing w:line="400" w:lineRule="exact"/>
        <w:ind w:firstLine="480" w:firstLineChars="200"/>
        <w:rPr>
          <w:rFonts w:hint="eastAsia" w:ascii="宋体" w:hAnsi="宋体" w:eastAsia="宋体" w:cs="宋体"/>
          <w:bCs/>
          <w:sz w:val="24"/>
          <w:highlight w:val="none"/>
        </w:rPr>
      </w:pPr>
    </w:p>
    <w:p w14:paraId="68D1020C">
      <w:pPr>
        <w:spacing w:line="400" w:lineRule="exact"/>
        <w:outlineLvl w:val="0"/>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六、交货（完工）时间：</w:t>
      </w:r>
    </w:p>
    <w:p w14:paraId="1C27965E">
      <w:pPr>
        <w:spacing w:line="4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1、采购人书面通知设备安装之日起90个自然日内(报出最早交货期限)。</w:t>
      </w:r>
    </w:p>
    <w:p w14:paraId="22E7E05A">
      <w:pPr>
        <w:spacing w:line="4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2、采购人有权调整全部或部分所订购设备的供货期及安装调试期，投标人不得以此为理由增加保管费或任何其他费用。</w:t>
      </w:r>
    </w:p>
    <w:p w14:paraId="2D24D085">
      <w:pPr>
        <w:spacing w:line="400" w:lineRule="exact"/>
        <w:ind w:firstLine="200"/>
        <w:rPr>
          <w:rFonts w:hint="eastAsia" w:ascii="宋体" w:hAnsi="宋体" w:eastAsia="宋体" w:cs="宋体"/>
          <w:sz w:val="24"/>
          <w:highlight w:val="none"/>
        </w:rPr>
      </w:pPr>
    </w:p>
    <w:p w14:paraId="0E75E3C6">
      <w:pPr>
        <w:spacing w:line="400" w:lineRule="exact"/>
        <w:outlineLvl w:val="0"/>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七、交货（服务）地点：</w:t>
      </w:r>
    </w:p>
    <w:p w14:paraId="5700ED8B">
      <w:pPr>
        <w:spacing w:line="4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根据甲方要求交货至</w:t>
      </w:r>
      <w:r>
        <w:rPr>
          <w:rFonts w:hint="eastAsia" w:ascii="宋体" w:hAnsi="宋体" w:cs="宋体"/>
          <w:sz w:val="24"/>
          <w:highlight w:val="none"/>
          <w:lang w:val="en-US" w:eastAsia="zh-CN"/>
        </w:rPr>
        <w:t>江阴各泵站地点</w:t>
      </w:r>
      <w:r>
        <w:rPr>
          <w:rFonts w:hint="eastAsia" w:ascii="宋体" w:hAnsi="宋体" w:eastAsia="宋体" w:cs="宋体"/>
          <w:sz w:val="24"/>
          <w:highlight w:val="none"/>
          <w:lang w:val="en-US" w:eastAsia="zh-CN"/>
        </w:rPr>
        <w:t>。</w:t>
      </w:r>
    </w:p>
    <w:tbl>
      <w:tblPr>
        <w:tblStyle w:val="32"/>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
        <w:gridCol w:w="2016"/>
        <w:gridCol w:w="3120"/>
        <w:gridCol w:w="1216"/>
        <w:gridCol w:w="1116"/>
        <w:gridCol w:w="1536"/>
      </w:tblGrid>
      <w:tr w14:paraId="63E93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restart"/>
            <w:noWrap/>
            <w:vAlign w:val="center"/>
          </w:tcPr>
          <w:p w14:paraId="75D5B067">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bookmarkStart w:id="12" w:name="_Hlk202507860"/>
            <w:r>
              <w:rPr>
                <w:rFonts w:hint="eastAsia" w:ascii="宋体" w:hAnsi="宋体" w:eastAsia="宋体" w:cs="宋体"/>
                <w:b/>
                <w:bCs/>
                <w:color w:val="000000"/>
                <w:kern w:val="0"/>
                <w:sz w:val="20"/>
                <w:szCs w:val="20"/>
                <w:highlight w:val="none"/>
              </w:rPr>
              <w:t>序号</w:t>
            </w:r>
          </w:p>
        </w:tc>
        <w:tc>
          <w:tcPr>
            <w:tcW w:w="0" w:type="auto"/>
            <w:vMerge w:val="restart"/>
            <w:noWrap/>
            <w:vAlign w:val="center"/>
          </w:tcPr>
          <w:p w14:paraId="3261049A">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r>
              <w:rPr>
                <w:rFonts w:hint="eastAsia" w:ascii="宋体" w:hAnsi="宋体" w:eastAsia="宋体" w:cs="宋体"/>
                <w:b/>
                <w:bCs/>
                <w:color w:val="000000"/>
                <w:kern w:val="0"/>
                <w:sz w:val="20"/>
                <w:szCs w:val="20"/>
                <w:highlight w:val="none"/>
              </w:rPr>
              <w:t>站点名称</w:t>
            </w:r>
          </w:p>
        </w:tc>
        <w:tc>
          <w:tcPr>
            <w:tcW w:w="0" w:type="auto"/>
            <w:vMerge w:val="restart"/>
            <w:noWrap w:val="0"/>
            <w:vAlign w:val="center"/>
          </w:tcPr>
          <w:p w14:paraId="2FB8689C">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r>
              <w:rPr>
                <w:rFonts w:hint="eastAsia" w:ascii="宋体" w:hAnsi="宋体" w:eastAsia="宋体" w:cs="宋体"/>
                <w:b/>
                <w:bCs/>
                <w:color w:val="000000"/>
                <w:kern w:val="0"/>
                <w:sz w:val="20"/>
                <w:szCs w:val="20"/>
                <w:highlight w:val="none"/>
              </w:rPr>
              <w:t>站址</w:t>
            </w:r>
          </w:p>
        </w:tc>
        <w:tc>
          <w:tcPr>
            <w:tcW w:w="0" w:type="auto"/>
            <w:gridSpan w:val="2"/>
            <w:noWrap/>
            <w:vAlign w:val="center"/>
          </w:tcPr>
          <w:p w14:paraId="617B8AB0">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r>
              <w:rPr>
                <w:rFonts w:hint="eastAsia" w:ascii="宋体" w:hAnsi="宋体" w:eastAsia="宋体" w:cs="宋体"/>
                <w:b/>
                <w:bCs/>
                <w:color w:val="000000"/>
                <w:kern w:val="0"/>
                <w:sz w:val="20"/>
                <w:szCs w:val="20"/>
                <w:highlight w:val="none"/>
              </w:rPr>
              <w:t>坐标信息</w:t>
            </w:r>
          </w:p>
        </w:tc>
        <w:tc>
          <w:tcPr>
            <w:tcW w:w="1536" w:type="dxa"/>
            <w:vMerge w:val="restart"/>
            <w:noWrap w:val="0"/>
            <w:vAlign w:val="center"/>
          </w:tcPr>
          <w:p w14:paraId="59004F1B">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r>
              <w:rPr>
                <w:rFonts w:hint="eastAsia" w:ascii="宋体" w:hAnsi="宋体" w:eastAsia="宋体" w:cs="宋体"/>
                <w:b/>
                <w:bCs/>
                <w:color w:val="000000"/>
                <w:kern w:val="0"/>
                <w:sz w:val="20"/>
                <w:szCs w:val="20"/>
                <w:highlight w:val="none"/>
              </w:rPr>
              <w:t>备注</w:t>
            </w:r>
          </w:p>
        </w:tc>
      </w:tr>
      <w:tr w14:paraId="38F5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continue"/>
            <w:noWrap w:val="0"/>
            <w:vAlign w:val="center"/>
          </w:tcPr>
          <w:p w14:paraId="1F72CA39">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p>
        </w:tc>
        <w:tc>
          <w:tcPr>
            <w:tcW w:w="0" w:type="auto"/>
            <w:vMerge w:val="continue"/>
            <w:noWrap w:val="0"/>
            <w:vAlign w:val="center"/>
          </w:tcPr>
          <w:p w14:paraId="3B8B5C5B">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p>
        </w:tc>
        <w:tc>
          <w:tcPr>
            <w:tcW w:w="0" w:type="auto"/>
            <w:vMerge w:val="continue"/>
            <w:noWrap w:val="0"/>
            <w:vAlign w:val="center"/>
          </w:tcPr>
          <w:p w14:paraId="43A5B49A">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p>
        </w:tc>
        <w:tc>
          <w:tcPr>
            <w:tcW w:w="0" w:type="auto"/>
            <w:noWrap/>
            <w:vAlign w:val="center"/>
          </w:tcPr>
          <w:p w14:paraId="0567D894">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r>
              <w:rPr>
                <w:rFonts w:hint="eastAsia" w:ascii="宋体" w:hAnsi="宋体" w:eastAsia="宋体" w:cs="宋体"/>
                <w:b/>
                <w:bCs/>
                <w:color w:val="000000"/>
                <w:kern w:val="0"/>
                <w:sz w:val="20"/>
                <w:szCs w:val="20"/>
                <w:highlight w:val="none"/>
              </w:rPr>
              <w:t>经度</w:t>
            </w:r>
          </w:p>
        </w:tc>
        <w:tc>
          <w:tcPr>
            <w:tcW w:w="0" w:type="auto"/>
            <w:noWrap/>
            <w:vAlign w:val="center"/>
          </w:tcPr>
          <w:p w14:paraId="3747B486">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r>
              <w:rPr>
                <w:rFonts w:hint="eastAsia" w:ascii="宋体" w:hAnsi="宋体" w:eastAsia="宋体" w:cs="宋体"/>
                <w:b/>
                <w:bCs/>
                <w:color w:val="000000"/>
                <w:kern w:val="0"/>
                <w:sz w:val="20"/>
                <w:szCs w:val="20"/>
                <w:highlight w:val="none"/>
              </w:rPr>
              <w:t>纬度</w:t>
            </w:r>
          </w:p>
        </w:tc>
        <w:tc>
          <w:tcPr>
            <w:tcW w:w="1536" w:type="dxa"/>
            <w:vMerge w:val="continue"/>
            <w:noWrap w:val="0"/>
            <w:vAlign w:val="center"/>
          </w:tcPr>
          <w:p w14:paraId="58DD0279">
            <w:pPr>
              <w:widowControl/>
              <w:snapToGrid w:val="0"/>
              <w:ind w:left="0" w:leftChars="0" w:right="0" w:rightChars="0" w:firstLine="0" w:firstLineChars="0"/>
              <w:jc w:val="center"/>
              <w:rPr>
                <w:rFonts w:hint="eastAsia" w:ascii="宋体" w:hAnsi="宋体" w:eastAsia="宋体" w:cs="宋体"/>
                <w:b/>
                <w:bCs/>
                <w:color w:val="000000"/>
                <w:kern w:val="0"/>
                <w:sz w:val="20"/>
                <w:szCs w:val="20"/>
                <w:highlight w:val="none"/>
              </w:rPr>
            </w:pPr>
          </w:p>
        </w:tc>
      </w:tr>
      <w:tr w14:paraId="63F3D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6B15B2D6">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w:t>
            </w:r>
          </w:p>
        </w:tc>
        <w:tc>
          <w:tcPr>
            <w:tcW w:w="0" w:type="auto"/>
            <w:noWrap/>
            <w:vAlign w:val="center"/>
          </w:tcPr>
          <w:p w14:paraId="0DE8F4FB">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海港大道1#泵站</w:t>
            </w:r>
          </w:p>
        </w:tc>
        <w:tc>
          <w:tcPr>
            <w:tcW w:w="0" w:type="auto"/>
            <w:noWrap w:val="0"/>
            <w:vAlign w:val="center"/>
          </w:tcPr>
          <w:p w14:paraId="3182142C">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申港镇牌楼下村路西</w:t>
            </w:r>
          </w:p>
        </w:tc>
        <w:tc>
          <w:tcPr>
            <w:tcW w:w="0" w:type="auto"/>
            <w:noWrap/>
            <w:vAlign w:val="center"/>
          </w:tcPr>
          <w:p w14:paraId="179612A7">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120.193438</w:t>
            </w:r>
          </w:p>
        </w:tc>
        <w:tc>
          <w:tcPr>
            <w:tcW w:w="0" w:type="auto"/>
            <w:noWrap/>
            <w:vAlign w:val="center"/>
          </w:tcPr>
          <w:p w14:paraId="1DB4FF88">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31.865203</w:t>
            </w:r>
          </w:p>
        </w:tc>
        <w:tc>
          <w:tcPr>
            <w:tcW w:w="1536" w:type="dxa"/>
            <w:noWrap w:val="0"/>
            <w:vAlign w:val="center"/>
          </w:tcPr>
          <w:p w14:paraId="68BF0EBB">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40A14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48041BEF">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2</w:t>
            </w:r>
          </w:p>
        </w:tc>
        <w:tc>
          <w:tcPr>
            <w:tcW w:w="0" w:type="auto"/>
            <w:noWrap/>
            <w:vAlign w:val="center"/>
          </w:tcPr>
          <w:p w14:paraId="368A2BD9">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海港大道2#泵站</w:t>
            </w:r>
          </w:p>
        </w:tc>
        <w:tc>
          <w:tcPr>
            <w:tcW w:w="0" w:type="auto"/>
            <w:noWrap w:val="0"/>
            <w:vAlign w:val="center"/>
          </w:tcPr>
          <w:p w14:paraId="3908CBF7">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申港镇四河里路西</w:t>
            </w:r>
          </w:p>
        </w:tc>
        <w:tc>
          <w:tcPr>
            <w:tcW w:w="0" w:type="auto"/>
            <w:noWrap/>
            <w:vAlign w:val="center"/>
          </w:tcPr>
          <w:p w14:paraId="724BB8F4">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120.195149</w:t>
            </w:r>
          </w:p>
        </w:tc>
        <w:tc>
          <w:tcPr>
            <w:tcW w:w="0" w:type="auto"/>
            <w:noWrap/>
            <w:vAlign w:val="center"/>
          </w:tcPr>
          <w:p w14:paraId="1782A5C8">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31.847031</w:t>
            </w:r>
          </w:p>
        </w:tc>
        <w:tc>
          <w:tcPr>
            <w:tcW w:w="1536" w:type="dxa"/>
            <w:noWrap w:val="0"/>
            <w:vAlign w:val="center"/>
          </w:tcPr>
          <w:p w14:paraId="315BA11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49D65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0E42B129">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w:t>
            </w:r>
          </w:p>
        </w:tc>
        <w:tc>
          <w:tcPr>
            <w:tcW w:w="0" w:type="auto"/>
            <w:noWrap/>
            <w:vAlign w:val="center"/>
          </w:tcPr>
          <w:p w14:paraId="5F79E033">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海港大道3#泵站</w:t>
            </w:r>
          </w:p>
        </w:tc>
        <w:tc>
          <w:tcPr>
            <w:tcW w:w="0" w:type="auto"/>
            <w:noWrap w:val="0"/>
            <w:vAlign w:val="center"/>
          </w:tcPr>
          <w:p w14:paraId="725DE04B">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月城镇沿山村路东</w:t>
            </w:r>
          </w:p>
        </w:tc>
        <w:tc>
          <w:tcPr>
            <w:tcW w:w="0" w:type="auto"/>
            <w:noWrap/>
            <w:vAlign w:val="center"/>
          </w:tcPr>
          <w:p w14:paraId="729E38AA">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120.212792</w:t>
            </w:r>
          </w:p>
        </w:tc>
        <w:tc>
          <w:tcPr>
            <w:tcW w:w="0" w:type="auto"/>
            <w:noWrap/>
            <w:vAlign w:val="center"/>
          </w:tcPr>
          <w:p w14:paraId="08B09D7E">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31.814017</w:t>
            </w:r>
          </w:p>
        </w:tc>
        <w:tc>
          <w:tcPr>
            <w:tcW w:w="1536" w:type="dxa"/>
            <w:noWrap w:val="0"/>
            <w:vAlign w:val="center"/>
          </w:tcPr>
          <w:p w14:paraId="09F5005E">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2B4AB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69515AAF">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4</w:t>
            </w:r>
          </w:p>
        </w:tc>
        <w:tc>
          <w:tcPr>
            <w:tcW w:w="0" w:type="auto"/>
            <w:noWrap/>
            <w:vAlign w:val="center"/>
          </w:tcPr>
          <w:p w14:paraId="56DDEC4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海港大道4#泵站</w:t>
            </w:r>
          </w:p>
        </w:tc>
        <w:tc>
          <w:tcPr>
            <w:tcW w:w="0" w:type="auto"/>
            <w:noWrap w:val="0"/>
            <w:vAlign w:val="center"/>
          </w:tcPr>
          <w:p w14:paraId="03F13CD7">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月城镇卧龙村路东</w:t>
            </w:r>
          </w:p>
        </w:tc>
        <w:tc>
          <w:tcPr>
            <w:tcW w:w="0" w:type="auto"/>
            <w:noWrap/>
            <w:vAlign w:val="center"/>
          </w:tcPr>
          <w:p w14:paraId="6A487B2D">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120.21286</w:t>
            </w:r>
          </w:p>
        </w:tc>
        <w:tc>
          <w:tcPr>
            <w:tcW w:w="0" w:type="auto"/>
            <w:noWrap/>
            <w:vAlign w:val="center"/>
          </w:tcPr>
          <w:p w14:paraId="1C226DED">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31.814302</w:t>
            </w:r>
          </w:p>
        </w:tc>
        <w:tc>
          <w:tcPr>
            <w:tcW w:w="1536" w:type="dxa"/>
            <w:noWrap w:val="0"/>
            <w:vAlign w:val="center"/>
          </w:tcPr>
          <w:p w14:paraId="0511F969">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5ACB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238E7B40">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5</w:t>
            </w:r>
          </w:p>
        </w:tc>
        <w:tc>
          <w:tcPr>
            <w:tcW w:w="0" w:type="auto"/>
            <w:noWrap/>
            <w:vAlign w:val="center"/>
          </w:tcPr>
          <w:p w14:paraId="274CDACD">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海港大道5#泵站</w:t>
            </w:r>
          </w:p>
        </w:tc>
        <w:tc>
          <w:tcPr>
            <w:tcW w:w="0" w:type="auto"/>
            <w:noWrap w:val="0"/>
            <w:vAlign w:val="center"/>
          </w:tcPr>
          <w:p w14:paraId="4DEC6164">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青阳镇里新桥南路西</w:t>
            </w:r>
          </w:p>
        </w:tc>
        <w:tc>
          <w:tcPr>
            <w:tcW w:w="0" w:type="auto"/>
            <w:noWrap/>
            <w:vAlign w:val="center"/>
          </w:tcPr>
          <w:p w14:paraId="2F2A4304">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120.272157</w:t>
            </w:r>
          </w:p>
        </w:tc>
        <w:tc>
          <w:tcPr>
            <w:tcW w:w="0" w:type="auto"/>
            <w:noWrap/>
            <w:vAlign w:val="center"/>
          </w:tcPr>
          <w:p w14:paraId="5D442924">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31.741824</w:t>
            </w:r>
          </w:p>
        </w:tc>
        <w:tc>
          <w:tcPr>
            <w:tcW w:w="1536" w:type="dxa"/>
            <w:noWrap w:val="0"/>
            <w:vAlign w:val="center"/>
          </w:tcPr>
          <w:p w14:paraId="59973277">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74DA4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561DBFD4">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6</w:t>
            </w:r>
          </w:p>
        </w:tc>
        <w:tc>
          <w:tcPr>
            <w:tcW w:w="0" w:type="auto"/>
            <w:noWrap/>
            <w:vAlign w:val="center"/>
          </w:tcPr>
          <w:p w14:paraId="31FD5035">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海港大道6#泵站</w:t>
            </w:r>
          </w:p>
        </w:tc>
        <w:tc>
          <w:tcPr>
            <w:tcW w:w="0" w:type="auto"/>
            <w:noWrap w:val="0"/>
            <w:vAlign w:val="center"/>
          </w:tcPr>
          <w:p w14:paraId="3F3393A7">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青阳镇潘家桥路西</w:t>
            </w:r>
          </w:p>
        </w:tc>
        <w:tc>
          <w:tcPr>
            <w:tcW w:w="0" w:type="auto"/>
            <w:noWrap/>
            <w:vAlign w:val="center"/>
          </w:tcPr>
          <w:p w14:paraId="0941EC59">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120.243002</w:t>
            </w:r>
          </w:p>
        </w:tc>
        <w:tc>
          <w:tcPr>
            <w:tcW w:w="0" w:type="auto"/>
            <w:noWrap/>
            <w:vAlign w:val="center"/>
          </w:tcPr>
          <w:p w14:paraId="488CC10F">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31.763017</w:t>
            </w:r>
          </w:p>
        </w:tc>
        <w:tc>
          <w:tcPr>
            <w:tcW w:w="1536" w:type="dxa"/>
            <w:noWrap w:val="0"/>
            <w:vAlign w:val="center"/>
          </w:tcPr>
          <w:p w14:paraId="4200693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1092D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31325DC2">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7</w:t>
            </w:r>
          </w:p>
        </w:tc>
        <w:tc>
          <w:tcPr>
            <w:tcW w:w="0" w:type="auto"/>
            <w:noWrap/>
            <w:vAlign w:val="center"/>
          </w:tcPr>
          <w:p w14:paraId="24F8E8AF">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江阴大道7#泵站</w:t>
            </w:r>
          </w:p>
        </w:tc>
        <w:tc>
          <w:tcPr>
            <w:tcW w:w="0" w:type="auto"/>
            <w:noWrap w:val="0"/>
            <w:vAlign w:val="center"/>
          </w:tcPr>
          <w:p w14:paraId="6A8AC165">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月城镇连州村路南</w:t>
            </w:r>
          </w:p>
        </w:tc>
        <w:tc>
          <w:tcPr>
            <w:tcW w:w="0" w:type="auto"/>
            <w:noWrap/>
            <w:vAlign w:val="center"/>
          </w:tcPr>
          <w:p w14:paraId="05BA526F">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120.231001</w:t>
            </w:r>
          </w:p>
        </w:tc>
        <w:tc>
          <w:tcPr>
            <w:tcW w:w="0" w:type="auto"/>
            <w:noWrap/>
            <w:vAlign w:val="center"/>
          </w:tcPr>
          <w:p w14:paraId="7B41D9F1">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31.824909</w:t>
            </w:r>
          </w:p>
        </w:tc>
        <w:tc>
          <w:tcPr>
            <w:tcW w:w="1536" w:type="dxa"/>
            <w:noWrap w:val="0"/>
            <w:vAlign w:val="center"/>
          </w:tcPr>
          <w:p w14:paraId="7C1C4C9E">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2CFD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2307CEC8">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8</w:t>
            </w:r>
          </w:p>
        </w:tc>
        <w:tc>
          <w:tcPr>
            <w:tcW w:w="0" w:type="auto"/>
            <w:noWrap/>
            <w:vAlign w:val="center"/>
          </w:tcPr>
          <w:p w14:paraId="1E8FF18D">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江阴大道8#泵站</w:t>
            </w:r>
          </w:p>
        </w:tc>
        <w:tc>
          <w:tcPr>
            <w:tcW w:w="0" w:type="auto"/>
            <w:noWrap w:val="0"/>
            <w:vAlign w:val="center"/>
          </w:tcPr>
          <w:p w14:paraId="673938D2">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月城镇戴庄南路北</w:t>
            </w:r>
          </w:p>
        </w:tc>
        <w:tc>
          <w:tcPr>
            <w:tcW w:w="0" w:type="auto"/>
            <w:noWrap/>
            <w:vAlign w:val="center"/>
          </w:tcPr>
          <w:p w14:paraId="509FD0AF">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120.248293</w:t>
            </w:r>
          </w:p>
        </w:tc>
        <w:tc>
          <w:tcPr>
            <w:tcW w:w="0" w:type="auto"/>
            <w:noWrap/>
            <w:vAlign w:val="center"/>
          </w:tcPr>
          <w:p w14:paraId="17B5D1B4">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31.82711</w:t>
            </w:r>
          </w:p>
        </w:tc>
        <w:tc>
          <w:tcPr>
            <w:tcW w:w="1536" w:type="dxa"/>
            <w:noWrap w:val="0"/>
            <w:vAlign w:val="center"/>
          </w:tcPr>
          <w:p w14:paraId="4A7DA717">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1E30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6AF46385">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lang w:val="en-US" w:eastAsia="zh-CN"/>
              </w:rPr>
              <w:t>9</w:t>
            </w:r>
          </w:p>
        </w:tc>
        <w:tc>
          <w:tcPr>
            <w:tcW w:w="0" w:type="auto"/>
            <w:noWrap/>
            <w:vAlign w:val="center"/>
          </w:tcPr>
          <w:p w14:paraId="3879C737">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江阴大道10#泵站</w:t>
            </w:r>
          </w:p>
        </w:tc>
        <w:tc>
          <w:tcPr>
            <w:tcW w:w="0" w:type="auto"/>
            <w:noWrap w:val="0"/>
            <w:vAlign w:val="center"/>
          </w:tcPr>
          <w:p w14:paraId="34CFA0E2">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霞客镇新建村路北</w:t>
            </w:r>
          </w:p>
        </w:tc>
        <w:tc>
          <w:tcPr>
            <w:tcW w:w="0" w:type="auto"/>
            <w:noWrap/>
            <w:vAlign w:val="center"/>
          </w:tcPr>
          <w:p w14:paraId="1C5C63A7">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120.263268</w:t>
            </w:r>
          </w:p>
        </w:tc>
        <w:tc>
          <w:tcPr>
            <w:tcW w:w="0" w:type="auto"/>
            <w:noWrap/>
            <w:vAlign w:val="center"/>
          </w:tcPr>
          <w:p w14:paraId="34745B7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31.828426</w:t>
            </w:r>
          </w:p>
        </w:tc>
        <w:tc>
          <w:tcPr>
            <w:tcW w:w="1536" w:type="dxa"/>
            <w:noWrap w:val="0"/>
            <w:vAlign w:val="center"/>
          </w:tcPr>
          <w:p w14:paraId="185AAE6B">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01A02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74496543">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1</w:t>
            </w:r>
            <w:r>
              <w:rPr>
                <w:rFonts w:hint="eastAsia" w:ascii="宋体" w:hAnsi="宋体" w:eastAsia="宋体" w:cs="宋体"/>
                <w:color w:val="000000"/>
                <w:kern w:val="0"/>
                <w:sz w:val="20"/>
                <w:szCs w:val="20"/>
                <w:highlight w:val="none"/>
                <w:lang w:val="en-US" w:eastAsia="zh-CN"/>
              </w:rPr>
              <w:t>0</w:t>
            </w:r>
          </w:p>
        </w:tc>
        <w:tc>
          <w:tcPr>
            <w:tcW w:w="0" w:type="auto"/>
            <w:noWrap/>
            <w:vAlign w:val="center"/>
          </w:tcPr>
          <w:p w14:paraId="320C415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江阴大道11#泵站</w:t>
            </w:r>
          </w:p>
        </w:tc>
        <w:tc>
          <w:tcPr>
            <w:tcW w:w="0" w:type="auto"/>
            <w:noWrap w:val="0"/>
            <w:vAlign w:val="center"/>
          </w:tcPr>
          <w:p w14:paraId="2E6623E0">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霞客大道与江阴大道交叉口路西</w:t>
            </w:r>
          </w:p>
        </w:tc>
        <w:tc>
          <w:tcPr>
            <w:tcW w:w="0" w:type="auto"/>
            <w:noWrap/>
            <w:vAlign w:val="center"/>
          </w:tcPr>
          <w:p w14:paraId="397AAD2B">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120.275611</w:t>
            </w:r>
          </w:p>
        </w:tc>
        <w:tc>
          <w:tcPr>
            <w:tcW w:w="0" w:type="auto"/>
            <w:noWrap/>
            <w:vAlign w:val="center"/>
          </w:tcPr>
          <w:p w14:paraId="6389BC7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31.830516</w:t>
            </w:r>
          </w:p>
        </w:tc>
        <w:tc>
          <w:tcPr>
            <w:tcW w:w="1536" w:type="dxa"/>
            <w:noWrap w:val="0"/>
            <w:vAlign w:val="center"/>
          </w:tcPr>
          <w:p w14:paraId="655663D8">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4FEC7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52CAC9F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1</w:t>
            </w:r>
            <w:r>
              <w:rPr>
                <w:rFonts w:hint="eastAsia" w:ascii="宋体" w:hAnsi="宋体" w:eastAsia="宋体" w:cs="宋体"/>
                <w:color w:val="000000"/>
                <w:kern w:val="0"/>
                <w:sz w:val="20"/>
                <w:szCs w:val="20"/>
                <w:highlight w:val="none"/>
                <w:lang w:val="en-US" w:eastAsia="zh-CN"/>
              </w:rPr>
              <w:t>1</w:t>
            </w:r>
          </w:p>
        </w:tc>
        <w:tc>
          <w:tcPr>
            <w:tcW w:w="0" w:type="auto"/>
            <w:noWrap/>
            <w:vAlign w:val="center"/>
          </w:tcPr>
          <w:p w14:paraId="0B3298B0">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江阴大道12#泵站</w:t>
            </w:r>
          </w:p>
        </w:tc>
        <w:tc>
          <w:tcPr>
            <w:tcW w:w="0" w:type="auto"/>
            <w:noWrap w:val="0"/>
            <w:vAlign w:val="center"/>
          </w:tcPr>
          <w:p w14:paraId="16FB7368">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霞客镇宏岐村西路北</w:t>
            </w:r>
          </w:p>
        </w:tc>
        <w:tc>
          <w:tcPr>
            <w:tcW w:w="0" w:type="auto"/>
            <w:noWrap/>
            <w:vAlign w:val="center"/>
          </w:tcPr>
          <w:p w14:paraId="37AA48D3">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120.296653</w:t>
            </w:r>
          </w:p>
        </w:tc>
        <w:tc>
          <w:tcPr>
            <w:tcW w:w="0" w:type="auto"/>
            <w:noWrap/>
            <w:vAlign w:val="center"/>
          </w:tcPr>
          <w:p w14:paraId="024329F4">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31.839772</w:t>
            </w:r>
          </w:p>
        </w:tc>
        <w:tc>
          <w:tcPr>
            <w:tcW w:w="1536" w:type="dxa"/>
            <w:noWrap w:val="0"/>
            <w:vAlign w:val="center"/>
          </w:tcPr>
          <w:p w14:paraId="7556E893">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5C8E4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59464E72">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1</w:t>
            </w:r>
            <w:r>
              <w:rPr>
                <w:rFonts w:hint="eastAsia" w:ascii="宋体" w:hAnsi="宋体" w:eastAsia="宋体" w:cs="宋体"/>
                <w:color w:val="000000"/>
                <w:kern w:val="0"/>
                <w:sz w:val="20"/>
                <w:szCs w:val="20"/>
                <w:highlight w:val="none"/>
                <w:lang w:val="en-US" w:eastAsia="zh-CN"/>
              </w:rPr>
              <w:t>2</w:t>
            </w:r>
          </w:p>
        </w:tc>
        <w:tc>
          <w:tcPr>
            <w:tcW w:w="0" w:type="auto"/>
            <w:noWrap/>
            <w:vAlign w:val="center"/>
          </w:tcPr>
          <w:p w14:paraId="5F8E1D3C">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江阴大道13#泵站</w:t>
            </w:r>
          </w:p>
        </w:tc>
        <w:tc>
          <w:tcPr>
            <w:tcW w:w="0" w:type="auto"/>
            <w:noWrap w:val="0"/>
            <w:vAlign w:val="center"/>
          </w:tcPr>
          <w:p w14:paraId="1FB46BBE">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霞客镇宏岐村东路北</w:t>
            </w:r>
          </w:p>
        </w:tc>
        <w:tc>
          <w:tcPr>
            <w:tcW w:w="0" w:type="auto"/>
            <w:noWrap/>
            <w:vAlign w:val="center"/>
          </w:tcPr>
          <w:p w14:paraId="619AC837">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120.321384</w:t>
            </w:r>
          </w:p>
        </w:tc>
        <w:tc>
          <w:tcPr>
            <w:tcW w:w="0" w:type="auto"/>
            <w:noWrap/>
            <w:vAlign w:val="center"/>
          </w:tcPr>
          <w:p w14:paraId="30312A98">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31.843668</w:t>
            </w:r>
          </w:p>
        </w:tc>
        <w:tc>
          <w:tcPr>
            <w:tcW w:w="1536" w:type="dxa"/>
            <w:noWrap w:val="0"/>
            <w:vAlign w:val="center"/>
          </w:tcPr>
          <w:p w14:paraId="58387D22">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3954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67F40F5B">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1</w:t>
            </w:r>
            <w:r>
              <w:rPr>
                <w:rFonts w:hint="eastAsia" w:ascii="宋体" w:hAnsi="宋体" w:eastAsia="宋体" w:cs="宋体"/>
                <w:color w:val="000000"/>
                <w:kern w:val="0"/>
                <w:sz w:val="20"/>
                <w:szCs w:val="20"/>
                <w:highlight w:val="none"/>
                <w:lang w:val="en-US" w:eastAsia="zh-CN"/>
              </w:rPr>
              <w:t>3</w:t>
            </w:r>
          </w:p>
        </w:tc>
        <w:tc>
          <w:tcPr>
            <w:tcW w:w="0" w:type="auto"/>
            <w:noWrap/>
            <w:vAlign w:val="center"/>
          </w:tcPr>
          <w:p w14:paraId="6F7B1BD8">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江阴大道14#泵站</w:t>
            </w:r>
          </w:p>
        </w:tc>
        <w:tc>
          <w:tcPr>
            <w:tcW w:w="0" w:type="auto"/>
            <w:noWrap w:val="0"/>
            <w:vAlign w:val="center"/>
          </w:tcPr>
          <w:p w14:paraId="27053D08">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青阳镇潘家桥路西</w:t>
            </w:r>
          </w:p>
        </w:tc>
        <w:tc>
          <w:tcPr>
            <w:tcW w:w="0" w:type="auto"/>
            <w:noWrap/>
            <w:vAlign w:val="center"/>
          </w:tcPr>
          <w:p w14:paraId="6F267667">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120.331562</w:t>
            </w:r>
          </w:p>
        </w:tc>
        <w:tc>
          <w:tcPr>
            <w:tcW w:w="0" w:type="auto"/>
            <w:noWrap/>
            <w:vAlign w:val="center"/>
          </w:tcPr>
          <w:p w14:paraId="1B1ADF03">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31.844021</w:t>
            </w:r>
          </w:p>
        </w:tc>
        <w:tc>
          <w:tcPr>
            <w:tcW w:w="1536" w:type="dxa"/>
            <w:noWrap w:val="0"/>
            <w:vAlign w:val="center"/>
          </w:tcPr>
          <w:p w14:paraId="15425EEB">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1F828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12E53173">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1</w:t>
            </w:r>
            <w:r>
              <w:rPr>
                <w:rFonts w:hint="eastAsia" w:ascii="宋体" w:hAnsi="宋体" w:eastAsia="宋体" w:cs="宋体"/>
                <w:color w:val="000000"/>
                <w:kern w:val="0"/>
                <w:sz w:val="20"/>
                <w:szCs w:val="20"/>
                <w:highlight w:val="none"/>
                <w:lang w:val="en-US" w:eastAsia="zh-CN"/>
              </w:rPr>
              <w:t>4</w:t>
            </w:r>
          </w:p>
        </w:tc>
        <w:tc>
          <w:tcPr>
            <w:tcW w:w="0" w:type="auto"/>
            <w:noWrap/>
            <w:vAlign w:val="center"/>
          </w:tcPr>
          <w:p w14:paraId="587D62A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江阴大道15#泵站</w:t>
            </w:r>
          </w:p>
        </w:tc>
        <w:tc>
          <w:tcPr>
            <w:tcW w:w="0" w:type="auto"/>
            <w:noWrap w:val="0"/>
            <w:vAlign w:val="center"/>
          </w:tcPr>
          <w:p w14:paraId="6FDFF1B4">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云亭镇黄台村南路北</w:t>
            </w:r>
          </w:p>
        </w:tc>
        <w:tc>
          <w:tcPr>
            <w:tcW w:w="0" w:type="auto"/>
            <w:noWrap/>
            <w:vAlign w:val="center"/>
          </w:tcPr>
          <w:p w14:paraId="5092ADAF">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120.335501</w:t>
            </w:r>
          </w:p>
        </w:tc>
        <w:tc>
          <w:tcPr>
            <w:tcW w:w="0" w:type="auto"/>
            <w:noWrap/>
            <w:vAlign w:val="center"/>
          </w:tcPr>
          <w:p w14:paraId="3F3AB149">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31.844067</w:t>
            </w:r>
          </w:p>
        </w:tc>
        <w:tc>
          <w:tcPr>
            <w:tcW w:w="1536" w:type="dxa"/>
            <w:noWrap w:val="0"/>
            <w:vAlign w:val="center"/>
          </w:tcPr>
          <w:p w14:paraId="6CA8AD6D">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443B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3FEF1279">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1</w:t>
            </w:r>
            <w:r>
              <w:rPr>
                <w:rFonts w:hint="eastAsia" w:ascii="宋体" w:hAnsi="宋体" w:eastAsia="宋体" w:cs="宋体"/>
                <w:color w:val="000000"/>
                <w:kern w:val="0"/>
                <w:sz w:val="20"/>
                <w:szCs w:val="20"/>
                <w:highlight w:val="none"/>
                <w:lang w:val="en-US" w:eastAsia="zh-CN"/>
              </w:rPr>
              <w:t>5</w:t>
            </w:r>
          </w:p>
        </w:tc>
        <w:tc>
          <w:tcPr>
            <w:tcW w:w="0" w:type="auto"/>
            <w:noWrap/>
            <w:vAlign w:val="center"/>
          </w:tcPr>
          <w:p w14:paraId="401DBB3E">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江阴大道17#泵站</w:t>
            </w:r>
          </w:p>
        </w:tc>
        <w:tc>
          <w:tcPr>
            <w:tcW w:w="0" w:type="auto"/>
            <w:noWrap w:val="0"/>
            <w:vAlign w:val="center"/>
          </w:tcPr>
          <w:p w14:paraId="18581D8B">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云亭镇中庄村路北</w:t>
            </w:r>
          </w:p>
        </w:tc>
        <w:tc>
          <w:tcPr>
            <w:tcW w:w="0" w:type="auto"/>
            <w:noWrap/>
            <w:vAlign w:val="center"/>
          </w:tcPr>
          <w:p w14:paraId="11E0047B">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120.340334</w:t>
            </w:r>
          </w:p>
        </w:tc>
        <w:tc>
          <w:tcPr>
            <w:tcW w:w="0" w:type="auto"/>
            <w:noWrap/>
            <w:vAlign w:val="center"/>
          </w:tcPr>
          <w:p w14:paraId="1E825DE3">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31.844136</w:t>
            </w:r>
          </w:p>
        </w:tc>
        <w:tc>
          <w:tcPr>
            <w:tcW w:w="1536" w:type="dxa"/>
            <w:noWrap w:val="0"/>
            <w:vAlign w:val="center"/>
          </w:tcPr>
          <w:p w14:paraId="4E9AA0A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3311D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023F8CAB">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1</w:t>
            </w:r>
            <w:r>
              <w:rPr>
                <w:rFonts w:hint="eastAsia" w:ascii="宋体" w:hAnsi="宋体" w:eastAsia="宋体" w:cs="宋体"/>
                <w:color w:val="000000"/>
                <w:kern w:val="0"/>
                <w:sz w:val="20"/>
                <w:szCs w:val="20"/>
                <w:highlight w:val="none"/>
                <w:lang w:val="en-US" w:eastAsia="zh-CN"/>
              </w:rPr>
              <w:t>6</w:t>
            </w:r>
          </w:p>
        </w:tc>
        <w:tc>
          <w:tcPr>
            <w:tcW w:w="0" w:type="auto"/>
            <w:noWrap/>
            <w:vAlign w:val="center"/>
          </w:tcPr>
          <w:p w14:paraId="452A8474">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江阴大道18#泵站</w:t>
            </w:r>
          </w:p>
        </w:tc>
        <w:tc>
          <w:tcPr>
            <w:tcW w:w="0" w:type="auto"/>
            <w:noWrap w:val="0"/>
            <w:vAlign w:val="center"/>
          </w:tcPr>
          <w:p w14:paraId="43372BD2">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云亭镇吴巷里村路南</w:t>
            </w:r>
          </w:p>
        </w:tc>
        <w:tc>
          <w:tcPr>
            <w:tcW w:w="0" w:type="auto"/>
            <w:noWrap/>
            <w:vAlign w:val="center"/>
          </w:tcPr>
          <w:p w14:paraId="1D3CBD0B">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120.352295</w:t>
            </w:r>
          </w:p>
        </w:tc>
        <w:tc>
          <w:tcPr>
            <w:tcW w:w="0" w:type="auto"/>
            <w:noWrap/>
            <w:vAlign w:val="center"/>
          </w:tcPr>
          <w:p w14:paraId="51641594">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31.844788</w:t>
            </w:r>
          </w:p>
        </w:tc>
        <w:tc>
          <w:tcPr>
            <w:tcW w:w="1536" w:type="dxa"/>
            <w:noWrap w:val="0"/>
            <w:vAlign w:val="center"/>
          </w:tcPr>
          <w:p w14:paraId="0E951311">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24F6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22F5D94D">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1</w:t>
            </w:r>
            <w:r>
              <w:rPr>
                <w:rFonts w:hint="eastAsia" w:ascii="宋体" w:hAnsi="宋体" w:eastAsia="宋体" w:cs="宋体"/>
                <w:color w:val="000000"/>
                <w:kern w:val="0"/>
                <w:sz w:val="20"/>
                <w:szCs w:val="20"/>
                <w:highlight w:val="none"/>
                <w:lang w:val="en-US" w:eastAsia="zh-CN"/>
              </w:rPr>
              <w:t>7</w:t>
            </w:r>
          </w:p>
        </w:tc>
        <w:tc>
          <w:tcPr>
            <w:tcW w:w="0" w:type="auto"/>
            <w:noWrap/>
            <w:vAlign w:val="center"/>
          </w:tcPr>
          <w:p w14:paraId="636C7464">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江阴大道19#泵站</w:t>
            </w:r>
          </w:p>
        </w:tc>
        <w:tc>
          <w:tcPr>
            <w:tcW w:w="0" w:type="auto"/>
            <w:noWrap w:val="0"/>
            <w:vAlign w:val="center"/>
          </w:tcPr>
          <w:p w14:paraId="3E21A7E7">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云亭镇巷头上村路南</w:t>
            </w:r>
          </w:p>
        </w:tc>
        <w:tc>
          <w:tcPr>
            <w:tcW w:w="0" w:type="auto"/>
            <w:noWrap/>
            <w:vAlign w:val="center"/>
          </w:tcPr>
          <w:p w14:paraId="4AC17E58">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120.363847</w:t>
            </w:r>
          </w:p>
        </w:tc>
        <w:tc>
          <w:tcPr>
            <w:tcW w:w="0" w:type="auto"/>
            <w:noWrap/>
            <w:vAlign w:val="center"/>
          </w:tcPr>
          <w:p w14:paraId="30FB4FC0">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31.842334</w:t>
            </w:r>
          </w:p>
        </w:tc>
        <w:tc>
          <w:tcPr>
            <w:tcW w:w="1536" w:type="dxa"/>
            <w:noWrap w:val="0"/>
            <w:vAlign w:val="center"/>
          </w:tcPr>
          <w:p w14:paraId="78BE7A60">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65AAB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46DA9D3F">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val="en-US" w:eastAsia="zh-CN"/>
              </w:rPr>
            </w:pPr>
            <w:r>
              <w:rPr>
                <w:rFonts w:hint="eastAsia" w:ascii="宋体" w:hAnsi="宋体" w:eastAsia="宋体" w:cs="宋体"/>
                <w:color w:val="000000"/>
                <w:kern w:val="0"/>
                <w:sz w:val="20"/>
                <w:szCs w:val="20"/>
                <w:highlight w:val="none"/>
                <w:lang w:val="en-US" w:eastAsia="zh-CN"/>
              </w:rPr>
              <w:t>18</w:t>
            </w:r>
          </w:p>
        </w:tc>
        <w:tc>
          <w:tcPr>
            <w:tcW w:w="0" w:type="auto"/>
            <w:noWrap/>
            <w:vAlign w:val="center"/>
          </w:tcPr>
          <w:p w14:paraId="3F891C6B">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江阴大道20#泵站</w:t>
            </w:r>
          </w:p>
        </w:tc>
        <w:tc>
          <w:tcPr>
            <w:tcW w:w="0" w:type="auto"/>
            <w:noWrap w:val="0"/>
            <w:vAlign w:val="center"/>
          </w:tcPr>
          <w:p w14:paraId="7CA3251B">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周庄镇华宏村路南</w:t>
            </w:r>
          </w:p>
        </w:tc>
        <w:tc>
          <w:tcPr>
            <w:tcW w:w="0" w:type="auto"/>
            <w:noWrap/>
            <w:vAlign w:val="center"/>
          </w:tcPr>
          <w:p w14:paraId="0660CDE3">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120.398975</w:t>
            </w:r>
          </w:p>
        </w:tc>
        <w:tc>
          <w:tcPr>
            <w:tcW w:w="0" w:type="auto"/>
            <w:noWrap/>
            <w:vAlign w:val="center"/>
          </w:tcPr>
          <w:p w14:paraId="4FEB3D31">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31.844209</w:t>
            </w:r>
          </w:p>
        </w:tc>
        <w:tc>
          <w:tcPr>
            <w:tcW w:w="1536" w:type="dxa"/>
            <w:noWrap w:val="0"/>
            <w:vAlign w:val="center"/>
          </w:tcPr>
          <w:p w14:paraId="19E756AE">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14E66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69AED242">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val="en-US" w:eastAsia="zh-CN"/>
              </w:rPr>
            </w:pPr>
            <w:r>
              <w:rPr>
                <w:rFonts w:hint="eastAsia" w:ascii="宋体" w:hAnsi="宋体" w:eastAsia="宋体" w:cs="宋体"/>
                <w:color w:val="000000"/>
                <w:kern w:val="0"/>
                <w:sz w:val="20"/>
                <w:szCs w:val="20"/>
                <w:highlight w:val="none"/>
                <w:lang w:val="en-US" w:eastAsia="zh-CN"/>
              </w:rPr>
              <w:t>19</w:t>
            </w:r>
          </w:p>
        </w:tc>
        <w:tc>
          <w:tcPr>
            <w:tcW w:w="0" w:type="auto"/>
            <w:noWrap/>
            <w:vAlign w:val="center"/>
          </w:tcPr>
          <w:p w14:paraId="14AC1C27">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梅园路泵站</w:t>
            </w:r>
          </w:p>
        </w:tc>
        <w:tc>
          <w:tcPr>
            <w:tcW w:w="0" w:type="auto"/>
            <w:noWrap w:val="0"/>
            <w:vAlign w:val="center"/>
          </w:tcPr>
          <w:p w14:paraId="7131CFE3">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梅园路与芙蓉大道交叉口，立交桥下</w:t>
            </w:r>
          </w:p>
        </w:tc>
        <w:tc>
          <w:tcPr>
            <w:tcW w:w="0" w:type="auto"/>
            <w:noWrap/>
            <w:vAlign w:val="center"/>
          </w:tcPr>
          <w:p w14:paraId="03A13711">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120.271833</w:t>
            </w:r>
          </w:p>
        </w:tc>
        <w:tc>
          <w:tcPr>
            <w:tcW w:w="0" w:type="auto"/>
            <w:noWrap/>
            <w:vAlign w:val="center"/>
          </w:tcPr>
          <w:p w14:paraId="2307BD10">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31.888131</w:t>
            </w:r>
          </w:p>
        </w:tc>
        <w:tc>
          <w:tcPr>
            <w:tcW w:w="1536" w:type="dxa"/>
            <w:noWrap w:val="0"/>
            <w:vAlign w:val="center"/>
          </w:tcPr>
          <w:p w14:paraId="7F1D12B1">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0837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0F336A7D">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val="en-US" w:eastAsia="zh-CN"/>
              </w:rPr>
            </w:pPr>
            <w:r>
              <w:rPr>
                <w:rFonts w:hint="eastAsia" w:ascii="宋体" w:hAnsi="宋体" w:eastAsia="宋体" w:cs="宋体"/>
                <w:color w:val="000000"/>
                <w:kern w:val="0"/>
                <w:sz w:val="20"/>
                <w:szCs w:val="20"/>
                <w:highlight w:val="none"/>
              </w:rPr>
              <w:t>2</w:t>
            </w:r>
            <w:r>
              <w:rPr>
                <w:rFonts w:hint="eastAsia" w:ascii="宋体" w:hAnsi="宋体" w:eastAsia="宋体" w:cs="宋体"/>
                <w:color w:val="000000"/>
                <w:kern w:val="0"/>
                <w:sz w:val="20"/>
                <w:szCs w:val="20"/>
                <w:highlight w:val="none"/>
                <w:lang w:val="en-US" w:eastAsia="zh-CN"/>
              </w:rPr>
              <w:t>0</w:t>
            </w:r>
          </w:p>
        </w:tc>
        <w:tc>
          <w:tcPr>
            <w:tcW w:w="0" w:type="auto"/>
            <w:noWrap/>
            <w:vAlign w:val="center"/>
          </w:tcPr>
          <w:p w14:paraId="42953461">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云南泵站</w:t>
            </w:r>
          </w:p>
        </w:tc>
        <w:tc>
          <w:tcPr>
            <w:tcW w:w="0" w:type="auto"/>
            <w:noWrap w:val="0"/>
            <w:vAlign w:val="center"/>
          </w:tcPr>
          <w:p w14:paraId="13A06AE9">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霞客大道与云南路交接处以西隧道南侧</w:t>
            </w:r>
          </w:p>
        </w:tc>
        <w:tc>
          <w:tcPr>
            <w:tcW w:w="0" w:type="auto"/>
            <w:noWrap/>
            <w:vAlign w:val="center"/>
          </w:tcPr>
          <w:p w14:paraId="49989A5C">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120.270562</w:t>
            </w:r>
          </w:p>
        </w:tc>
        <w:tc>
          <w:tcPr>
            <w:tcW w:w="0" w:type="auto"/>
            <w:noWrap/>
            <w:vAlign w:val="center"/>
          </w:tcPr>
          <w:p w14:paraId="7331A99F">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31.849197</w:t>
            </w:r>
          </w:p>
        </w:tc>
        <w:tc>
          <w:tcPr>
            <w:tcW w:w="1536" w:type="dxa"/>
            <w:noWrap w:val="0"/>
            <w:vAlign w:val="center"/>
          </w:tcPr>
          <w:p w14:paraId="6C58322C">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3C6B5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42CA0806">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2</w:t>
            </w:r>
            <w:r>
              <w:rPr>
                <w:rFonts w:hint="eastAsia" w:ascii="宋体" w:hAnsi="宋体" w:eastAsia="宋体" w:cs="宋体"/>
                <w:color w:val="000000"/>
                <w:kern w:val="0"/>
                <w:sz w:val="20"/>
                <w:szCs w:val="20"/>
                <w:highlight w:val="none"/>
                <w:lang w:val="en-US" w:eastAsia="zh-CN"/>
              </w:rPr>
              <w:t>1</w:t>
            </w:r>
          </w:p>
        </w:tc>
        <w:tc>
          <w:tcPr>
            <w:tcW w:w="0" w:type="auto"/>
            <w:noWrap/>
            <w:vAlign w:val="center"/>
          </w:tcPr>
          <w:p w14:paraId="3F75F09F">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暨南泵站</w:t>
            </w:r>
          </w:p>
        </w:tc>
        <w:tc>
          <w:tcPr>
            <w:tcW w:w="0" w:type="auto"/>
            <w:noWrap w:val="0"/>
            <w:vAlign w:val="center"/>
          </w:tcPr>
          <w:p w14:paraId="187AC639">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暨南大道铁路桥下路南</w:t>
            </w:r>
          </w:p>
        </w:tc>
        <w:tc>
          <w:tcPr>
            <w:tcW w:w="0" w:type="auto"/>
            <w:noWrap/>
            <w:vAlign w:val="center"/>
          </w:tcPr>
          <w:p w14:paraId="26660FDC">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120.249124</w:t>
            </w:r>
          </w:p>
        </w:tc>
        <w:tc>
          <w:tcPr>
            <w:tcW w:w="0" w:type="auto"/>
            <w:noWrap/>
            <w:vAlign w:val="center"/>
          </w:tcPr>
          <w:p w14:paraId="4E691EA0">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31.744752</w:t>
            </w:r>
          </w:p>
        </w:tc>
        <w:tc>
          <w:tcPr>
            <w:tcW w:w="1536" w:type="dxa"/>
            <w:noWrap w:val="0"/>
            <w:vAlign w:val="center"/>
          </w:tcPr>
          <w:p w14:paraId="399199AB">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025B5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7817B7A6">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2</w:t>
            </w:r>
            <w:r>
              <w:rPr>
                <w:rFonts w:hint="eastAsia" w:ascii="宋体" w:hAnsi="宋体" w:eastAsia="宋体" w:cs="宋体"/>
                <w:color w:val="000000"/>
                <w:kern w:val="0"/>
                <w:sz w:val="20"/>
                <w:szCs w:val="20"/>
                <w:highlight w:val="none"/>
                <w:lang w:val="en-US" w:eastAsia="zh-CN"/>
              </w:rPr>
              <w:t>2</w:t>
            </w:r>
          </w:p>
        </w:tc>
        <w:tc>
          <w:tcPr>
            <w:tcW w:w="0" w:type="auto"/>
            <w:noWrap/>
            <w:vAlign w:val="center"/>
          </w:tcPr>
          <w:p w14:paraId="566025EC">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张家桥泵站</w:t>
            </w:r>
          </w:p>
        </w:tc>
        <w:tc>
          <w:tcPr>
            <w:tcW w:w="0" w:type="auto"/>
            <w:noWrap w:val="0"/>
            <w:vAlign w:val="center"/>
          </w:tcPr>
          <w:p w14:paraId="346EAD78">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老澄锡路与江阴大道交界处</w:t>
            </w:r>
          </w:p>
        </w:tc>
        <w:tc>
          <w:tcPr>
            <w:tcW w:w="0" w:type="auto"/>
            <w:noWrap/>
            <w:vAlign w:val="center"/>
          </w:tcPr>
          <w:p w14:paraId="5B561CA6">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120.256046</w:t>
            </w:r>
          </w:p>
        </w:tc>
        <w:tc>
          <w:tcPr>
            <w:tcW w:w="0" w:type="auto"/>
            <w:noWrap/>
            <w:vAlign w:val="center"/>
          </w:tcPr>
          <w:p w14:paraId="68DFAC15">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31.828859</w:t>
            </w:r>
          </w:p>
        </w:tc>
        <w:tc>
          <w:tcPr>
            <w:tcW w:w="1536" w:type="dxa"/>
            <w:noWrap w:val="0"/>
            <w:vAlign w:val="center"/>
          </w:tcPr>
          <w:p w14:paraId="11202467">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30CF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310D5F2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2</w:t>
            </w:r>
            <w:r>
              <w:rPr>
                <w:rFonts w:hint="eastAsia" w:ascii="宋体" w:hAnsi="宋体" w:eastAsia="宋体" w:cs="宋体"/>
                <w:color w:val="000000"/>
                <w:kern w:val="0"/>
                <w:sz w:val="20"/>
                <w:szCs w:val="20"/>
                <w:highlight w:val="none"/>
                <w:lang w:val="en-US" w:eastAsia="zh-CN"/>
              </w:rPr>
              <w:t>3</w:t>
            </w:r>
          </w:p>
        </w:tc>
        <w:tc>
          <w:tcPr>
            <w:tcW w:w="0" w:type="auto"/>
            <w:noWrap/>
            <w:vAlign w:val="center"/>
          </w:tcPr>
          <w:p w14:paraId="0F3EECE1">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澄东泵站</w:t>
            </w:r>
          </w:p>
        </w:tc>
        <w:tc>
          <w:tcPr>
            <w:tcW w:w="0" w:type="auto"/>
            <w:noWrap w:val="0"/>
            <w:vAlign w:val="center"/>
          </w:tcPr>
          <w:p w14:paraId="398856B5">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芙蓉大道铁路桥下路北</w:t>
            </w:r>
          </w:p>
        </w:tc>
        <w:tc>
          <w:tcPr>
            <w:tcW w:w="0" w:type="auto"/>
            <w:noWrap/>
            <w:vAlign w:val="center"/>
          </w:tcPr>
          <w:p w14:paraId="4B7BD169">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120.320827</w:t>
            </w:r>
          </w:p>
        </w:tc>
        <w:tc>
          <w:tcPr>
            <w:tcW w:w="0" w:type="auto"/>
            <w:noWrap/>
            <w:vAlign w:val="center"/>
          </w:tcPr>
          <w:p w14:paraId="71377BA2">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31.894899</w:t>
            </w:r>
          </w:p>
        </w:tc>
        <w:tc>
          <w:tcPr>
            <w:tcW w:w="1536" w:type="dxa"/>
            <w:noWrap w:val="0"/>
            <w:vAlign w:val="center"/>
          </w:tcPr>
          <w:p w14:paraId="120F075F">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2E145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46859633">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2</w:t>
            </w:r>
            <w:r>
              <w:rPr>
                <w:rFonts w:hint="eastAsia" w:ascii="宋体" w:hAnsi="宋体" w:eastAsia="宋体" w:cs="宋体"/>
                <w:color w:val="000000"/>
                <w:kern w:val="0"/>
                <w:sz w:val="20"/>
                <w:szCs w:val="20"/>
                <w:highlight w:val="none"/>
                <w:lang w:val="en-US" w:eastAsia="zh-CN"/>
              </w:rPr>
              <w:t>4</w:t>
            </w:r>
          </w:p>
        </w:tc>
        <w:tc>
          <w:tcPr>
            <w:tcW w:w="0" w:type="auto"/>
            <w:noWrap/>
            <w:vAlign w:val="center"/>
          </w:tcPr>
          <w:p w14:paraId="1E74A5CD">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芙蓉小泵站</w:t>
            </w:r>
          </w:p>
        </w:tc>
        <w:tc>
          <w:tcPr>
            <w:tcW w:w="0" w:type="auto"/>
            <w:noWrap w:val="0"/>
            <w:vAlign w:val="center"/>
          </w:tcPr>
          <w:p w14:paraId="7F64F3CB">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芙蓉大道广吉江铃南</w:t>
            </w:r>
          </w:p>
        </w:tc>
        <w:tc>
          <w:tcPr>
            <w:tcW w:w="0" w:type="auto"/>
            <w:noWrap/>
            <w:vAlign w:val="center"/>
          </w:tcPr>
          <w:p w14:paraId="37426D4F">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120.332423</w:t>
            </w:r>
          </w:p>
        </w:tc>
        <w:tc>
          <w:tcPr>
            <w:tcW w:w="0" w:type="auto"/>
            <w:noWrap/>
            <w:vAlign w:val="center"/>
          </w:tcPr>
          <w:p w14:paraId="34FD85A6">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31.894321</w:t>
            </w:r>
          </w:p>
        </w:tc>
        <w:tc>
          <w:tcPr>
            <w:tcW w:w="1536" w:type="dxa"/>
            <w:noWrap w:val="0"/>
            <w:vAlign w:val="center"/>
          </w:tcPr>
          <w:p w14:paraId="1A26CA4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tr w14:paraId="4B775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ign w:val="center"/>
          </w:tcPr>
          <w:p w14:paraId="283F59C0">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2</w:t>
            </w:r>
            <w:r>
              <w:rPr>
                <w:rFonts w:hint="eastAsia" w:ascii="宋体" w:hAnsi="宋体" w:eastAsia="宋体" w:cs="宋体"/>
                <w:color w:val="000000"/>
                <w:kern w:val="0"/>
                <w:sz w:val="20"/>
                <w:szCs w:val="20"/>
                <w:highlight w:val="none"/>
                <w:lang w:val="en-US" w:eastAsia="zh-CN"/>
              </w:rPr>
              <w:t>5</w:t>
            </w:r>
          </w:p>
        </w:tc>
        <w:tc>
          <w:tcPr>
            <w:tcW w:w="0" w:type="auto"/>
            <w:noWrap/>
            <w:vAlign w:val="center"/>
          </w:tcPr>
          <w:p w14:paraId="3CFD1550">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澄张路纺织市场泵站</w:t>
            </w:r>
          </w:p>
        </w:tc>
        <w:tc>
          <w:tcPr>
            <w:tcW w:w="0" w:type="auto"/>
            <w:noWrap w:val="0"/>
            <w:vAlign w:val="center"/>
          </w:tcPr>
          <w:p w14:paraId="1EFDCDC5">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澄张路纺织市场北门对面</w:t>
            </w:r>
          </w:p>
        </w:tc>
        <w:tc>
          <w:tcPr>
            <w:tcW w:w="0" w:type="auto"/>
            <w:noWrap/>
            <w:vAlign w:val="center"/>
          </w:tcPr>
          <w:p w14:paraId="0DA2FAA9">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120.338224</w:t>
            </w:r>
          </w:p>
        </w:tc>
        <w:tc>
          <w:tcPr>
            <w:tcW w:w="0" w:type="auto"/>
            <w:noWrap/>
            <w:vAlign w:val="center"/>
          </w:tcPr>
          <w:p w14:paraId="4745243D">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31.894356</w:t>
            </w:r>
          </w:p>
        </w:tc>
        <w:tc>
          <w:tcPr>
            <w:tcW w:w="1536" w:type="dxa"/>
            <w:vMerge w:val="restart"/>
            <w:noWrap w:val="0"/>
            <w:vAlign w:val="center"/>
          </w:tcPr>
          <w:p w14:paraId="69B53AAF">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为本次新建设站点</w:t>
            </w:r>
          </w:p>
        </w:tc>
      </w:tr>
      <w:tr w14:paraId="125D9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8" w:type="dxa"/>
            <w:noWrap/>
            <w:vAlign w:val="center"/>
          </w:tcPr>
          <w:p w14:paraId="490BD025">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lang w:eastAsia="zh-CN"/>
              </w:rPr>
            </w:pPr>
            <w:r>
              <w:rPr>
                <w:rFonts w:hint="eastAsia" w:ascii="宋体" w:hAnsi="宋体" w:eastAsia="宋体" w:cs="宋体"/>
                <w:color w:val="000000"/>
                <w:kern w:val="0"/>
                <w:sz w:val="20"/>
                <w:szCs w:val="20"/>
                <w:highlight w:val="none"/>
              </w:rPr>
              <w:t>2</w:t>
            </w:r>
            <w:r>
              <w:rPr>
                <w:rFonts w:hint="eastAsia" w:ascii="宋体" w:hAnsi="宋体" w:eastAsia="宋体" w:cs="宋体"/>
                <w:color w:val="000000"/>
                <w:kern w:val="0"/>
                <w:sz w:val="20"/>
                <w:szCs w:val="20"/>
                <w:highlight w:val="none"/>
                <w:lang w:val="en-US" w:eastAsia="zh-CN"/>
              </w:rPr>
              <w:t>6</w:t>
            </w:r>
          </w:p>
        </w:tc>
        <w:tc>
          <w:tcPr>
            <w:tcW w:w="2016" w:type="dxa"/>
            <w:noWrap/>
            <w:vAlign w:val="center"/>
          </w:tcPr>
          <w:p w14:paraId="7C30D3AA">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澄张连接线泵站</w:t>
            </w:r>
          </w:p>
        </w:tc>
        <w:tc>
          <w:tcPr>
            <w:tcW w:w="3120" w:type="dxa"/>
            <w:noWrap w:val="0"/>
            <w:vAlign w:val="center"/>
          </w:tcPr>
          <w:p w14:paraId="3079DC8B">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澄张路延陵路口东北</w:t>
            </w:r>
          </w:p>
        </w:tc>
        <w:tc>
          <w:tcPr>
            <w:tcW w:w="1216" w:type="dxa"/>
            <w:noWrap/>
            <w:vAlign w:val="center"/>
          </w:tcPr>
          <w:p w14:paraId="0AA734A7">
            <w:pPr>
              <w:widowControl/>
              <w:snapToGrid w:val="0"/>
              <w:ind w:left="0" w:leftChars="0" w:right="0" w:rightChars="0" w:firstLine="0" w:firstLineChars="0"/>
              <w:jc w:val="left"/>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120.339012</w:t>
            </w:r>
          </w:p>
        </w:tc>
        <w:tc>
          <w:tcPr>
            <w:tcW w:w="1116" w:type="dxa"/>
            <w:noWrap/>
            <w:vAlign w:val="center"/>
          </w:tcPr>
          <w:p w14:paraId="28F25172">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r>
              <w:rPr>
                <w:rFonts w:hint="eastAsia" w:ascii="宋体" w:hAnsi="宋体" w:eastAsia="宋体" w:cs="宋体"/>
                <w:color w:val="000000"/>
                <w:kern w:val="0"/>
                <w:sz w:val="20"/>
                <w:szCs w:val="20"/>
                <w:highlight w:val="none"/>
              </w:rPr>
              <w:t>31.894229</w:t>
            </w:r>
          </w:p>
        </w:tc>
        <w:tc>
          <w:tcPr>
            <w:tcW w:w="1536" w:type="dxa"/>
            <w:vMerge w:val="continue"/>
            <w:noWrap w:val="0"/>
            <w:vAlign w:val="center"/>
          </w:tcPr>
          <w:p w14:paraId="30188512">
            <w:pPr>
              <w:widowControl/>
              <w:snapToGrid w:val="0"/>
              <w:ind w:left="0" w:leftChars="0" w:right="0" w:rightChars="0" w:firstLine="0" w:firstLineChars="0"/>
              <w:jc w:val="center"/>
              <w:rPr>
                <w:rFonts w:hint="eastAsia" w:ascii="宋体" w:hAnsi="宋体" w:eastAsia="宋体" w:cs="宋体"/>
                <w:color w:val="000000"/>
                <w:kern w:val="0"/>
                <w:sz w:val="20"/>
                <w:szCs w:val="20"/>
                <w:highlight w:val="none"/>
              </w:rPr>
            </w:pPr>
          </w:p>
        </w:tc>
      </w:tr>
      <w:bookmarkEnd w:id="12"/>
    </w:tbl>
    <w:p w14:paraId="3C9613C8">
      <w:pPr>
        <w:spacing w:line="400" w:lineRule="exact"/>
        <w:rPr>
          <w:rFonts w:hint="eastAsia" w:ascii="宋体" w:hAnsi="宋体" w:eastAsia="宋体" w:cs="宋体"/>
          <w:sz w:val="24"/>
          <w:highlight w:val="none"/>
          <w:lang w:val="en-US" w:eastAsia="zh-CN"/>
        </w:rPr>
      </w:pPr>
    </w:p>
    <w:p w14:paraId="52EFBFDB">
      <w:pPr>
        <w:spacing w:line="400" w:lineRule="exact"/>
        <w:outlineLvl w:val="0"/>
        <w:rPr>
          <w:rFonts w:hint="eastAsia" w:ascii="宋体" w:hAnsi="宋体" w:eastAsia="宋体" w:cs="宋体"/>
          <w:b/>
          <w:bCs w:val="0"/>
          <w:sz w:val="28"/>
          <w:szCs w:val="28"/>
          <w:highlight w:val="none"/>
        </w:rPr>
      </w:pPr>
      <w:r>
        <w:rPr>
          <w:rFonts w:hint="eastAsia" w:ascii="宋体" w:hAnsi="宋体" w:cs="宋体"/>
          <w:b/>
          <w:bCs w:val="0"/>
          <w:sz w:val="28"/>
          <w:szCs w:val="28"/>
          <w:highlight w:val="none"/>
          <w:lang w:val="en-US" w:eastAsia="zh-CN"/>
        </w:rPr>
        <w:t>八</w:t>
      </w:r>
      <w:r>
        <w:rPr>
          <w:rFonts w:hint="eastAsia" w:ascii="宋体" w:hAnsi="宋体" w:eastAsia="宋体" w:cs="宋体"/>
          <w:b/>
          <w:bCs w:val="0"/>
          <w:sz w:val="28"/>
          <w:szCs w:val="28"/>
          <w:highlight w:val="none"/>
        </w:rPr>
        <w:t>、</w:t>
      </w:r>
      <w:r>
        <w:rPr>
          <w:rFonts w:hint="eastAsia" w:ascii="宋体" w:hAnsi="宋体" w:cs="宋体"/>
          <w:b/>
          <w:bCs w:val="0"/>
          <w:sz w:val="28"/>
          <w:szCs w:val="28"/>
          <w:highlight w:val="none"/>
          <w:lang w:val="en-US" w:eastAsia="zh-CN"/>
        </w:rPr>
        <w:t>实施售后团队要求</w:t>
      </w:r>
      <w:r>
        <w:rPr>
          <w:rFonts w:hint="eastAsia" w:ascii="宋体" w:hAnsi="宋体" w:eastAsia="宋体" w:cs="宋体"/>
          <w:b/>
          <w:bCs w:val="0"/>
          <w:sz w:val="28"/>
          <w:szCs w:val="28"/>
          <w:highlight w:val="none"/>
        </w:rPr>
        <w:t>：</w:t>
      </w:r>
    </w:p>
    <w:p w14:paraId="6CB3E64B">
      <w:pPr>
        <w:spacing w:line="4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投标人需为本项目组建实施运维团队，配备至少5名技术人员负责项目实施和售后（其中项目负责人1人、硬件实施团队负责人1人、软件开发团队负责人1人、驻场运维人员2人）。</w:t>
      </w:r>
    </w:p>
    <w:p w14:paraId="557099EE">
      <w:pPr>
        <w:spacing w:line="400" w:lineRule="exact"/>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项目负责人：全面负责项目整体统筹、进度管控、质量安全与各方协调，落实验收、付款、风险防控及团队管理，确保项目按期保质交付并合规履约。</w:t>
      </w:r>
    </w:p>
    <w:p w14:paraId="047119F6">
      <w:pPr>
        <w:spacing w:line="400" w:lineRule="exact"/>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硬件实施团队负责人：统筹所有硬件设备的安装、调试与联调，负责现场施工管理、技术交底、故障排查，保障硬件系统稳定运行。</w:t>
      </w:r>
    </w:p>
    <w:p w14:paraId="73147192">
      <w:pPr>
        <w:spacing w:line="400" w:lineRule="exact"/>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软件开发团队负责人：负责平台软件模块开发、升级与集成，完成功能测试、数据对接及信创适配，配合测评与演示，提供软件技术支撑与用户培训。</w:t>
      </w:r>
    </w:p>
    <w:p w14:paraId="05E0CCEE">
      <w:pPr>
        <w:spacing w:line="400" w:lineRule="exact"/>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驻场运维人员：项目期驻场配合实施，交付后提供 5 年运维服务，按要求快速响应故障、完成日常巡检与设备维护。</w:t>
      </w:r>
    </w:p>
    <w:p w14:paraId="2AE9ED16">
      <w:pPr>
        <w:spacing w:line="400" w:lineRule="exact"/>
        <w:ind w:firstLine="482" w:firstLineChars="200"/>
        <w:rPr>
          <w:rFonts w:hint="eastAsia" w:ascii="宋体" w:hAnsi="宋体" w:eastAsia="宋体" w:cs="宋体"/>
          <w:sz w:val="24"/>
          <w:highlight w:val="none"/>
          <w:lang w:val="en-US" w:eastAsia="zh-CN"/>
        </w:rPr>
      </w:pPr>
      <w:r>
        <w:rPr>
          <w:rFonts w:hint="eastAsia" w:ascii="宋体" w:hAnsi="宋体" w:eastAsia="宋体" w:cs="宋体"/>
          <w:b/>
          <w:bCs/>
          <w:sz w:val="24"/>
          <w:highlight w:val="none"/>
        </w:rPr>
        <w:t>投标人需为本项目</w:t>
      </w:r>
      <w:r>
        <w:rPr>
          <w:rFonts w:hint="eastAsia" w:ascii="宋体" w:hAnsi="宋体" w:cs="宋体"/>
          <w:b/>
          <w:bCs/>
          <w:sz w:val="24"/>
          <w:highlight w:val="none"/>
          <w:lang w:val="en-US" w:eastAsia="zh-CN"/>
        </w:rPr>
        <w:t>配置一部工程车辆，供本项目运维人员调度使用。投标时需提供承诺函（格式自拟）。</w:t>
      </w:r>
    </w:p>
    <w:p w14:paraId="76700108">
      <w:pPr>
        <w:spacing w:line="400" w:lineRule="exact"/>
        <w:ind w:firstLine="480" w:firstLineChars="200"/>
        <w:rPr>
          <w:rFonts w:hint="eastAsia" w:ascii="宋体" w:hAnsi="宋体" w:eastAsia="宋体" w:cs="宋体"/>
          <w:sz w:val="24"/>
          <w:highlight w:val="none"/>
          <w:lang w:val="en-US" w:eastAsia="zh-CN"/>
        </w:rPr>
      </w:pPr>
    </w:p>
    <w:p w14:paraId="4E33098B">
      <w:pPr>
        <w:spacing w:line="400" w:lineRule="exact"/>
        <w:outlineLvl w:val="0"/>
        <w:rPr>
          <w:rFonts w:hint="eastAsia" w:ascii="宋体" w:hAnsi="宋体" w:eastAsia="宋体" w:cs="宋体"/>
          <w:b/>
          <w:bCs w:val="0"/>
          <w:sz w:val="28"/>
          <w:szCs w:val="28"/>
          <w:highlight w:val="none"/>
        </w:rPr>
      </w:pPr>
      <w:r>
        <w:rPr>
          <w:rFonts w:hint="eastAsia" w:ascii="宋体" w:hAnsi="宋体" w:cs="宋体"/>
          <w:b/>
          <w:bCs w:val="0"/>
          <w:sz w:val="28"/>
          <w:szCs w:val="28"/>
          <w:highlight w:val="none"/>
          <w:lang w:val="en-US" w:eastAsia="zh-CN"/>
        </w:rPr>
        <w:t>九</w:t>
      </w:r>
      <w:r>
        <w:rPr>
          <w:rFonts w:hint="eastAsia" w:ascii="宋体" w:hAnsi="宋体" w:eastAsia="宋体" w:cs="宋体"/>
          <w:b/>
          <w:bCs w:val="0"/>
          <w:sz w:val="28"/>
          <w:szCs w:val="28"/>
          <w:highlight w:val="none"/>
        </w:rPr>
        <w:t>、质量保证及售后服务要求：</w:t>
      </w:r>
    </w:p>
    <w:p w14:paraId="0D833AA3">
      <w:pPr>
        <w:widowControl/>
        <w:numPr>
          <w:ilvl w:val="0"/>
          <w:numId w:val="4"/>
        </w:numPr>
        <w:spacing w:line="4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所有软件不低于原厂</w:t>
      </w:r>
      <w:r>
        <w:rPr>
          <w:rFonts w:hint="eastAsia" w:ascii="宋体" w:hAnsi="宋体" w:cs="宋体"/>
          <w:sz w:val="24"/>
          <w:highlight w:val="none"/>
          <w:lang w:val="en-US" w:eastAsia="zh-CN"/>
        </w:rPr>
        <w:t>5</w:t>
      </w:r>
      <w:r>
        <w:rPr>
          <w:rFonts w:hint="eastAsia" w:ascii="宋体" w:hAnsi="宋体" w:eastAsia="宋体" w:cs="宋体"/>
          <w:sz w:val="24"/>
          <w:highlight w:val="none"/>
        </w:rPr>
        <w:t>年质保、所有硬件产品不低于原厂5年质保。（有特殊说明的请按照分项要求质保）。中标单位签订合同时须提供</w:t>
      </w:r>
      <w:r>
        <w:rPr>
          <w:rFonts w:hint="eastAsia" w:ascii="宋体" w:hAnsi="宋体" w:eastAsia="宋体" w:cs="宋体"/>
          <w:b/>
          <w:bCs/>
          <w:sz w:val="24"/>
          <w:highlight w:val="none"/>
          <w:u w:val="single"/>
        </w:rPr>
        <w:t>动力柜电气火灾告警监测</w:t>
      </w:r>
      <w:r>
        <w:rPr>
          <w:rFonts w:hint="eastAsia" w:ascii="宋体" w:hAnsi="宋体" w:eastAsia="宋体" w:cs="宋体"/>
          <w:b/>
          <w:bCs/>
          <w:sz w:val="24"/>
          <w:highlight w:val="none"/>
          <w:u w:val="single"/>
          <w:lang w:eastAsia="zh-CN"/>
        </w:rPr>
        <w:t>、成套泵站智控柜、风光互补供电系统、防火墙</w:t>
      </w:r>
      <w:r>
        <w:rPr>
          <w:rFonts w:hint="eastAsia" w:ascii="宋体" w:hAnsi="宋体" w:cs="宋体"/>
          <w:b/>
          <w:bCs/>
          <w:sz w:val="24"/>
          <w:highlight w:val="none"/>
          <w:u w:val="single"/>
          <w:lang w:eastAsia="zh-CN"/>
        </w:rPr>
        <w:t>、</w:t>
      </w:r>
      <w:r>
        <w:rPr>
          <w:rFonts w:hint="eastAsia" w:ascii="宋体" w:hAnsi="宋体" w:cs="宋体"/>
          <w:b/>
          <w:bCs/>
          <w:sz w:val="24"/>
          <w:highlight w:val="none"/>
          <w:u w:val="single"/>
          <w:lang w:val="en-US" w:eastAsia="zh-CN"/>
        </w:rPr>
        <w:t>24口安全交换机</w:t>
      </w:r>
      <w:r>
        <w:rPr>
          <w:rFonts w:hint="eastAsia" w:ascii="宋体" w:hAnsi="宋体" w:eastAsia="宋体" w:cs="宋体"/>
          <w:b/>
          <w:bCs/>
          <w:sz w:val="24"/>
          <w:highlight w:val="none"/>
        </w:rPr>
        <w:t>的原厂质保函原件并加盖原厂公章（业务章、投标专用章等均无效），</w:t>
      </w:r>
      <w:bookmarkStart w:id="22" w:name="_GoBack"/>
      <w:bookmarkEnd w:id="22"/>
      <w:r>
        <w:rPr>
          <w:rFonts w:hint="eastAsia" w:ascii="宋体" w:hAnsi="宋体" w:eastAsia="宋体" w:cs="宋体"/>
          <w:sz w:val="24"/>
          <w:highlight w:val="none"/>
        </w:rPr>
        <w:t>若中标单位未在规定时间内提供质保函，将取消成交资格，并按政府采购相关规定处理。</w:t>
      </w:r>
    </w:p>
    <w:p w14:paraId="27D7EB91">
      <w:pPr>
        <w:widowControl/>
        <w:numPr>
          <w:ilvl w:val="0"/>
          <w:numId w:val="4"/>
        </w:numPr>
        <w:spacing w:line="40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投标人</w:t>
      </w:r>
      <w:r>
        <w:rPr>
          <w:rFonts w:hint="eastAsia" w:ascii="宋体" w:hAnsi="宋体" w:eastAsia="宋体" w:cs="宋体"/>
          <w:sz w:val="24"/>
          <w:highlight w:val="none"/>
        </w:rPr>
        <w:t>必须保证报价产品为原厂商合格产品，能够获得原厂商的售后服务。项目中所涉及的软件部分均为正版或具有合法知识产权的产品</w:t>
      </w:r>
      <w:r>
        <w:rPr>
          <w:rFonts w:hint="eastAsia" w:ascii="宋体" w:hAnsi="宋体" w:cs="宋体"/>
          <w:sz w:val="24"/>
          <w:highlight w:val="none"/>
          <w:lang w:eastAsia="zh-CN"/>
        </w:rPr>
        <w:t>，</w:t>
      </w:r>
      <w:r>
        <w:rPr>
          <w:rFonts w:hint="eastAsia" w:ascii="宋体" w:hAnsi="宋体" w:eastAsia="宋体" w:cs="宋体"/>
          <w:sz w:val="24"/>
          <w:highlight w:val="none"/>
        </w:rPr>
        <w:t>否则，</w:t>
      </w:r>
      <w:r>
        <w:rPr>
          <w:rFonts w:hint="eastAsia" w:ascii="宋体" w:hAnsi="宋体" w:cs="宋体"/>
          <w:sz w:val="24"/>
          <w:highlight w:val="none"/>
          <w:lang w:val="en-US" w:eastAsia="zh-CN"/>
        </w:rPr>
        <w:t>投标人</w:t>
      </w:r>
      <w:r>
        <w:rPr>
          <w:rFonts w:hint="eastAsia" w:ascii="宋体" w:hAnsi="宋体" w:eastAsia="宋体" w:cs="宋体"/>
          <w:sz w:val="24"/>
          <w:highlight w:val="none"/>
        </w:rPr>
        <w:t>视为具有《中华人民共和国政府采购法实施条例》第七十二条“提供假冒伪劣产品”的情形。</w:t>
      </w:r>
    </w:p>
    <w:p w14:paraId="2F5583E9">
      <w:pPr>
        <w:widowControl/>
        <w:spacing w:line="400" w:lineRule="exact"/>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3</w:t>
      </w:r>
      <w:r>
        <w:rPr>
          <w:rFonts w:hint="eastAsia" w:ascii="宋体" w:hAnsi="宋体" w:eastAsia="宋体" w:cs="宋体"/>
          <w:bCs/>
          <w:sz w:val="24"/>
          <w:highlight w:val="none"/>
        </w:rPr>
        <w:t>、在保修期内，若出现质量问题，无条件、免费提供各种维修服务（包括零配件免费）。保修期满后，实行终身跟踪维修，按最低价收取零部件费用，不收取维修费及其他费用。</w:t>
      </w:r>
    </w:p>
    <w:p w14:paraId="4BA32536">
      <w:pPr>
        <w:widowControl/>
        <w:spacing w:line="400" w:lineRule="exact"/>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4</w:t>
      </w:r>
      <w:r>
        <w:rPr>
          <w:rFonts w:hint="eastAsia" w:ascii="宋体" w:hAnsi="宋体" w:eastAsia="宋体" w:cs="宋体"/>
          <w:bCs/>
          <w:sz w:val="24"/>
          <w:highlight w:val="none"/>
        </w:rPr>
        <w:t>、服务响应时间：</w:t>
      </w:r>
      <w:r>
        <w:rPr>
          <w:rFonts w:hint="eastAsia" w:ascii="宋体" w:hAnsi="宋体" w:cs="宋体"/>
          <w:bCs/>
          <w:sz w:val="24"/>
          <w:highlight w:val="none"/>
          <w:lang w:val="en-US" w:eastAsia="zh-CN"/>
        </w:rPr>
        <w:t>10分钟内</w:t>
      </w:r>
      <w:r>
        <w:rPr>
          <w:rFonts w:hint="eastAsia" w:ascii="宋体" w:hAnsi="宋体" w:eastAsia="宋体" w:cs="宋体"/>
          <w:bCs/>
          <w:sz w:val="24"/>
          <w:highlight w:val="none"/>
        </w:rPr>
        <w:t>响应，</w:t>
      </w:r>
      <w:r>
        <w:rPr>
          <w:rFonts w:hint="eastAsia" w:ascii="宋体" w:hAnsi="宋体" w:cs="宋体"/>
          <w:bCs/>
          <w:sz w:val="24"/>
          <w:highlight w:val="none"/>
          <w:lang w:val="en-US" w:eastAsia="zh-CN"/>
        </w:rPr>
        <w:t>半</w:t>
      </w:r>
      <w:r>
        <w:rPr>
          <w:rFonts w:hint="eastAsia" w:ascii="宋体" w:hAnsi="宋体" w:eastAsia="宋体" w:cs="宋体"/>
          <w:bCs/>
          <w:sz w:val="24"/>
          <w:highlight w:val="none"/>
        </w:rPr>
        <w:t>小时内到现场，并在24小时内能排除故障，未能在规定时间内修复情况下，</w:t>
      </w:r>
      <w:r>
        <w:rPr>
          <w:rFonts w:hint="eastAsia" w:ascii="宋体" w:hAnsi="宋体" w:cs="宋体"/>
          <w:bCs/>
          <w:sz w:val="24"/>
          <w:highlight w:val="none"/>
          <w:lang w:eastAsia="zh-CN"/>
        </w:rPr>
        <w:t>中标单位</w:t>
      </w:r>
      <w:r>
        <w:rPr>
          <w:rFonts w:hint="eastAsia" w:ascii="宋体" w:hAnsi="宋体" w:eastAsia="宋体" w:cs="宋体"/>
          <w:bCs/>
          <w:sz w:val="24"/>
          <w:highlight w:val="none"/>
        </w:rPr>
        <w:t>应主动提供免费备品备件。</w:t>
      </w:r>
    </w:p>
    <w:p w14:paraId="57124956">
      <w:pPr>
        <w:widowControl/>
        <w:spacing w:line="400" w:lineRule="exact"/>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5</w:t>
      </w:r>
      <w:r>
        <w:rPr>
          <w:rFonts w:hint="eastAsia" w:ascii="宋体" w:hAnsi="宋体" w:eastAsia="宋体" w:cs="宋体"/>
          <w:bCs/>
          <w:sz w:val="24"/>
          <w:highlight w:val="none"/>
        </w:rPr>
        <w:t>、在质量保证期内，未能在规定时间内修复情况下，中标单位应主动提供免费备机服务。</w:t>
      </w:r>
    </w:p>
    <w:p w14:paraId="3EA48E26">
      <w:pPr>
        <w:widowControl/>
        <w:spacing w:line="400" w:lineRule="exact"/>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6</w:t>
      </w:r>
      <w:r>
        <w:rPr>
          <w:rFonts w:hint="eastAsia" w:ascii="宋体" w:hAnsi="宋体" w:eastAsia="宋体" w:cs="宋体"/>
          <w:bCs/>
          <w:sz w:val="24"/>
          <w:highlight w:val="none"/>
        </w:rPr>
        <w:t>、在质量保证期内更换的任何配件，须为原设备原厂生产的；并且保证替代的零配件是新的未使用过和未经修复的。</w:t>
      </w:r>
    </w:p>
    <w:p w14:paraId="4FCE4C83">
      <w:pPr>
        <w:widowControl/>
        <w:spacing w:line="400" w:lineRule="exact"/>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7</w:t>
      </w:r>
      <w:r>
        <w:rPr>
          <w:rFonts w:hint="eastAsia" w:ascii="宋体" w:hAnsi="宋体" w:eastAsia="宋体" w:cs="宋体"/>
          <w:bCs/>
          <w:sz w:val="24"/>
          <w:highlight w:val="none"/>
        </w:rPr>
        <w:t>、提供的产品若有设计缺陷，</w:t>
      </w:r>
      <w:r>
        <w:rPr>
          <w:rFonts w:hint="eastAsia" w:ascii="宋体" w:hAnsi="宋体" w:cs="宋体"/>
          <w:bCs/>
          <w:sz w:val="24"/>
          <w:highlight w:val="none"/>
          <w:lang w:eastAsia="zh-CN"/>
        </w:rPr>
        <w:t>中标单位</w:t>
      </w:r>
      <w:r>
        <w:rPr>
          <w:rFonts w:hint="eastAsia" w:ascii="宋体" w:hAnsi="宋体" w:eastAsia="宋体" w:cs="宋体"/>
          <w:bCs/>
          <w:sz w:val="24"/>
          <w:highlight w:val="none"/>
        </w:rPr>
        <w:t>应主动召回。</w:t>
      </w:r>
    </w:p>
    <w:p w14:paraId="1BF00266">
      <w:pPr>
        <w:widowControl/>
        <w:spacing w:line="400" w:lineRule="exact"/>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8</w:t>
      </w:r>
      <w:r>
        <w:rPr>
          <w:rFonts w:hint="eastAsia" w:ascii="宋体" w:hAnsi="宋体" w:eastAsia="宋体" w:cs="宋体"/>
          <w:bCs/>
          <w:sz w:val="24"/>
          <w:highlight w:val="none"/>
        </w:rPr>
        <w:t>、在质量保证期内，投标单位应提供每年度技术巡检服务，巡检内容应包含：对设备使用状况的调查、升级软件、为机器除尘，故障预防工作。并向采购人提供巡检记录以及巡检报告。</w:t>
      </w:r>
    </w:p>
    <w:p w14:paraId="12F70841">
      <w:pPr>
        <w:widowControl/>
        <w:spacing w:line="400" w:lineRule="exact"/>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9</w:t>
      </w:r>
      <w:r>
        <w:rPr>
          <w:rFonts w:hint="eastAsia" w:ascii="宋体" w:hAnsi="宋体" w:eastAsia="宋体" w:cs="宋体"/>
          <w:bCs/>
          <w:sz w:val="24"/>
          <w:highlight w:val="none"/>
        </w:rPr>
        <w:t>、软件免费维护和升级服务的内容，投标单位可根据自身情况，提供相应的软件服务方案。</w:t>
      </w:r>
    </w:p>
    <w:p w14:paraId="4B9B8B36">
      <w:pPr>
        <w:widowControl/>
        <w:spacing w:line="400" w:lineRule="exact"/>
        <w:ind w:firstLine="480" w:firstLineChars="200"/>
        <w:rPr>
          <w:rFonts w:hint="eastAsia" w:ascii="宋体" w:hAnsi="宋体" w:eastAsia="宋体" w:cs="宋体"/>
          <w:bCs/>
          <w:sz w:val="24"/>
          <w:highlight w:val="none"/>
        </w:rPr>
      </w:pPr>
    </w:p>
    <w:p w14:paraId="12570FF9">
      <w:pPr>
        <w:spacing w:line="400" w:lineRule="exact"/>
        <w:outlineLvl w:val="0"/>
        <w:rPr>
          <w:rFonts w:hint="eastAsia" w:ascii="宋体" w:hAnsi="宋体" w:eastAsia="宋体" w:cs="宋体"/>
          <w:b/>
          <w:bCs w:val="0"/>
          <w:sz w:val="28"/>
          <w:szCs w:val="28"/>
          <w:highlight w:val="none"/>
        </w:rPr>
      </w:pPr>
      <w:r>
        <w:rPr>
          <w:rFonts w:hint="eastAsia" w:ascii="宋体" w:hAnsi="宋体" w:cs="宋体"/>
          <w:b/>
          <w:bCs w:val="0"/>
          <w:sz w:val="28"/>
          <w:szCs w:val="28"/>
          <w:highlight w:val="none"/>
          <w:lang w:val="en-US" w:eastAsia="zh-CN"/>
        </w:rPr>
        <w:t>十</w:t>
      </w:r>
      <w:r>
        <w:rPr>
          <w:rFonts w:hint="eastAsia" w:ascii="宋体" w:hAnsi="宋体" w:eastAsia="宋体" w:cs="宋体"/>
          <w:b/>
          <w:bCs w:val="0"/>
          <w:sz w:val="28"/>
          <w:szCs w:val="28"/>
          <w:highlight w:val="none"/>
        </w:rPr>
        <w:t>、付款方式：</w:t>
      </w:r>
    </w:p>
    <w:p w14:paraId="4A1D8498">
      <w:pPr>
        <w:spacing w:line="400" w:lineRule="exact"/>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交（竣）工验收合格后，甲方支付乙方合同金额的97%，验收合格后2年甲方支付剩余费用。</w:t>
      </w:r>
    </w:p>
    <w:p w14:paraId="364928D0">
      <w:pPr>
        <w:spacing w:line="400" w:lineRule="exact"/>
        <w:ind w:firstLine="480" w:firstLineChars="200"/>
        <w:rPr>
          <w:rFonts w:hint="default" w:ascii="宋体" w:hAnsi="宋体" w:cs="宋体"/>
          <w:sz w:val="24"/>
          <w:highlight w:val="none"/>
          <w:lang w:val="en-US" w:eastAsia="zh-CN"/>
        </w:rPr>
      </w:pPr>
    </w:p>
    <w:p w14:paraId="5C449BF1">
      <w:pPr>
        <w:spacing w:line="400" w:lineRule="exact"/>
        <w:outlineLvl w:val="0"/>
        <w:rPr>
          <w:rFonts w:hint="eastAsia" w:ascii="宋体" w:hAnsi="宋体" w:eastAsia="宋体" w:cs="宋体"/>
          <w:b/>
          <w:bCs w:val="0"/>
          <w:sz w:val="28"/>
          <w:szCs w:val="28"/>
          <w:highlight w:val="none"/>
        </w:rPr>
      </w:pPr>
      <w:r>
        <w:rPr>
          <w:rFonts w:hint="eastAsia" w:ascii="宋体" w:hAnsi="宋体" w:cs="宋体"/>
          <w:b/>
          <w:bCs w:val="0"/>
          <w:sz w:val="28"/>
          <w:szCs w:val="28"/>
          <w:highlight w:val="none"/>
          <w:lang w:val="en-US" w:eastAsia="zh-CN"/>
        </w:rPr>
        <w:t>十一</w:t>
      </w:r>
      <w:r>
        <w:rPr>
          <w:rFonts w:hint="eastAsia" w:ascii="宋体" w:hAnsi="宋体" w:eastAsia="宋体" w:cs="宋体"/>
          <w:b/>
          <w:bCs w:val="0"/>
          <w:sz w:val="28"/>
          <w:szCs w:val="28"/>
          <w:highlight w:val="none"/>
        </w:rPr>
        <w:t>、有关说明：</w:t>
      </w:r>
    </w:p>
    <w:p w14:paraId="3FE187B5">
      <w:pPr>
        <w:spacing w:line="4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bCs/>
          <w:sz w:val="24"/>
          <w:highlight w:val="none"/>
        </w:rPr>
        <w:t>公开招标为一次性报价。该项目为一个包，投标单位报价内容必须报全，不得漏项</w:t>
      </w:r>
      <w:r>
        <w:rPr>
          <w:rFonts w:hint="eastAsia" w:ascii="宋体" w:hAnsi="宋体" w:eastAsia="宋体" w:cs="宋体"/>
          <w:sz w:val="24"/>
          <w:highlight w:val="none"/>
        </w:rPr>
        <w:t>。合同总价（即投标最终价）包括全部设备、系统、安装、调试、培训、验收、税费等一切费用。</w:t>
      </w:r>
    </w:p>
    <w:p w14:paraId="05349E92">
      <w:pPr>
        <w:spacing w:line="40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2</w:t>
      </w:r>
      <w:r>
        <w:rPr>
          <w:rFonts w:hint="eastAsia" w:ascii="宋体" w:hAnsi="宋体" w:eastAsia="宋体" w:cs="宋体"/>
          <w:sz w:val="24"/>
          <w:highlight w:val="none"/>
        </w:rPr>
        <w:t>、投标人报价时应考虑各种风险因素，包括但不限于施工方案措施风险、由承包方原因引起的开工日期调整、由承包方原因引起地方矛盾引起的窝工、停工风险、设备价格的市场风险等一切风险因素，除发包人原因引起的设计变更外，中标单位在服务过程中不得以任何原因向发包人要求增加费用。</w:t>
      </w:r>
    </w:p>
    <w:p w14:paraId="55042AA8">
      <w:pPr>
        <w:spacing w:line="40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3</w:t>
      </w:r>
      <w:r>
        <w:rPr>
          <w:rFonts w:hint="eastAsia" w:ascii="宋体" w:hAnsi="宋体" w:eastAsia="宋体" w:cs="宋体"/>
          <w:sz w:val="24"/>
          <w:highlight w:val="none"/>
        </w:rPr>
        <w:t>、产品质量必须符合《中华人民共和国国家标准》及我国最新颁布的与之相关的技术规范与正宗合格产品标准，同时必须满足招标书中所列全部规格、型号、具体配置、技术条件及功能要求和供方承诺的其它指标；产品质量出现问题，供方负责包退、包换、包修，其费用由供方负责。</w:t>
      </w:r>
    </w:p>
    <w:p w14:paraId="36F5AE60">
      <w:pPr>
        <w:spacing w:line="40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4</w:t>
      </w:r>
      <w:r>
        <w:rPr>
          <w:rFonts w:hint="eastAsia" w:ascii="宋体" w:hAnsi="宋体" w:eastAsia="宋体" w:cs="宋体"/>
          <w:sz w:val="24"/>
          <w:highlight w:val="none"/>
        </w:rPr>
        <w:t>、供方设备交货时，需包装完整无损坏，提供产品保修单、装箱单以及产品的主要材料、五金配件的质检报告、产品的合格证。</w:t>
      </w:r>
    </w:p>
    <w:p w14:paraId="4F48FC5F">
      <w:pPr>
        <w:spacing w:line="40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5</w:t>
      </w:r>
      <w:r>
        <w:rPr>
          <w:rFonts w:hint="eastAsia" w:ascii="宋体" w:hAnsi="宋体" w:eastAsia="宋体" w:cs="宋体"/>
          <w:sz w:val="24"/>
          <w:highlight w:val="none"/>
        </w:rPr>
        <w:t>、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p>
    <w:p w14:paraId="738B4361">
      <w:pPr>
        <w:spacing w:line="40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6</w:t>
      </w:r>
      <w:r>
        <w:rPr>
          <w:rFonts w:hint="eastAsia" w:ascii="宋体" w:hAnsi="宋体" w:eastAsia="宋体" w:cs="宋体"/>
          <w:sz w:val="24"/>
          <w:highlight w:val="none"/>
        </w:rPr>
        <w:t>、凡涉及招标文件的补充说明或修正，均以江阴市政府采购中心书面依据为准。</w:t>
      </w:r>
    </w:p>
    <w:p w14:paraId="0209D476">
      <w:pPr>
        <w:spacing w:line="40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7</w:t>
      </w:r>
      <w:r>
        <w:rPr>
          <w:rFonts w:hint="eastAsia" w:ascii="宋体" w:hAnsi="宋体" w:eastAsia="宋体" w:cs="宋体"/>
          <w:sz w:val="24"/>
          <w:highlight w:val="none"/>
        </w:rPr>
        <w:t>、江阴市政府采购中心对本次招标结果不作任何解释。</w:t>
      </w:r>
    </w:p>
    <w:p w14:paraId="3E29B578">
      <w:pPr>
        <w:numPr>
          <w:ilvl w:val="0"/>
          <w:numId w:val="0"/>
        </w:numPr>
        <w:rPr>
          <w:highlight w:val="none"/>
        </w:rPr>
        <w:sectPr>
          <w:pgSz w:w="11906" w:h="16838"/>
          <w:pgMar w:top="1247" w:right="1247" w:bottom="1247" w:left="1247" w:header="680" w:footer="992" w:gutter="0"/>
          <w:pgNumType w:fmt="numberInDash"/>
          <w:cols w:space="720" w:num="1"/>
          <w:docGrid w:linePitch="312" w:charSpace="0"/>
        </w:sectPr>
      </w:pPr>
    </w:p>
    <w:p w14:paraId="730622B3">
      <w:pPr>
        <w:tabs>
          <w:tab w:val="left" w:pos="0"/>
        </w:tabs>
        <w:spacing w:line="400" w:lineRule="exact"/>
        <w:jc w:val="center"/>
        <w:rPr>
          <w:rFonts w:ascii="黑体" w:hAnsi="黑体" w:eastAsia="黑体" w:cs="Times New Roman"/>
          <w:bCs/>
          <w:sz w:val="30"/>
          <w:szCs w:val="30"/>
          <w:highlight w:val="none"/>
        </w:rPr>
      </w:pPr>
    </w:p>
    <w:p w14:paraId="3B00AB1F">
      <w:pPr>
        <w:pStyle w:val="28"/>
        <w:rPr>
          <w:highlight w:val="none"/>
        </w:rPr>
      </w:pPr>
      <w:bookmarkStart w:id="13" w:name="_Toc213847316"/>
      <w:r>
        <w:rPr>
          <w:rFonts w:hint="eastAsia"/>
          <w:highlight w:val="none"/>
        </w:rPr>
        <w:t>第四章  评标方法和评标标准</w:t>
      </w:r>
      <w:bookmarkEnd w:id="13"/>
    </w:p>
    <w:p w14:paraId="7644387C">
      <w:pPr>
        <w:spacing w:line="400" w:lineRule="exact"/>
        <w:ind w:firstLine="480"/>
        <w:rPr>
          <w:rFonts w:ascii="宋体" w:hAnsi="宋体" w:eastAsia="宋体" w:cs="Times New Roman"/>
          <w:sz w:val="24"/>
          <w:highlight w:val="none"/>
        </w:rPr>
      </w:pPr>
    </w:p>
    <w:p w14:paraId="1650AA21">
      <w:pPr>
        <w:spacing w:line="600" w:lineRule="exact"/>
        <w:jc w:val="left"/>
        <w:rPr>
          <w:rFonts w:ascii="黑体" w:hAnsi="黑体" w:eastAsia="黑体" w:cs="Times New Roman"/>
          <w:sz w:val="28"/>
          <w:szCs w:val="28"/>
          <w:highlight w:val="none"/>
        </w:rPr>
      </w:pPr>
      <w:r>
        <w:rPr>
          <w:rFonts w:hint="eastAsia" w:ascii="黑体" w:hAnsi="黑体" w:eastAsia="黑体" w:cs="Times New Roman"/>
          <w:sz w:val="28"/>
          <w:szCs w:val="28"/>
          <w:highlight w:val="none"/>
        </w:rPr>
        <w:t>一、评标方法</w:t>
      </w:r>
    </w:p>
    <w:p w14:paraId="68ACC5D4">
      <w:pPr>
        <w:spacing w:line="400" w:lineRule="exact"/>
        <w:ind w:firstLine="480"/>
        <w:jc w:val="left"/>
        <w:rPr>
          <w:rFonts w:ascii="宋体" w:hAnsi="宋体" w:eastAsia="宋体" w:cs="Times New Roman"/>
          <w:sz w:val="24"/>
          <w:highlight w:val="none"/>
        </w:rPr>
      </w:pPr>
      <w:r>
        <w:rPr>
          <w:rFonts w:hint="eastAsia" w:ascii="宋体" w:hAnsi="宋体" w:eastAsia="宋体" w:cs="Times New Roman"/>
          <w:sz w:val="24"/>
          <w:highlight w:val="none"/>
        </w:rPr>
        <w:t>本次评审采用综合评标法，</w:t>
      </w:r>
      <w:r>
        <w:rPr>
          <w:rFonts w:ascii="宋体" w:hAnsi="宋体" w:eastAsia="宋体" w:cs="Times New Roman"/>
          <w:sz w:val="24"/>
          <w:highlight w:val="none"/>
        </w:rPr>
        <w:t>是指投标文件满足招标文件全部实质性要求，且按照评审因素的量化指标评审得分最高的投标人为中标候选人的评标方法</w:t>
      </w:r>
      <w:r>
        <w:rPr>
          <w:rFonts w:hint="eastAsia" w:ascii="宋体" w:hAnsi="宋体" w:eastAsia="宋体" w:cs="Times New Roman"/>
          <w:sz w:val="24"/>
          <w:highlight w:val="none"/>
        </w:rPr>
        <w:t>，</w:t>
      </w:r>
      <w:r>
        <w:rPr>
          <w:rFonts w:ascii="宋体" w:hAnsi="宋体" w:eastAsia="宋体" w:cs="Times New Roman"/>
          <w:sz w:val="24"/>
          <w:highlight w:val="none"/>
        </w:rPr>
        <w:t>评审因素包括投标报价、技术或者服务水平、履约能力、售后服务等。</w:t>
      </w:r>
    </w:p>
    <w:p w14:paraId="6868BDF2">
      <w:pPr>
        <w:spacing w:line="400" w:lineRule="exact"/>
        <w:ind w:firstLine="480"/>
        <w:jc w:val="left"/>
        <w:rPr>
          <w:rFonts w:ascii="宋体" w:hAnsi="宋体" w:eastAsia="宋体" w:cs="Times New Roman"/>
          <w:bCs/>
          <w:sz w:val="24"/>
          <w:highlight w:val="none"/>
        </w:rPr>
      </w:pPr>
      <w:r>
        <w:rPr>
          <w:rFonts w:hint="eastAsia" w:ascii="宋体" w:hAnsi="宋体" w:eastAsia="宋体" w:cs="Times New Roman"/>
          <w:bCs/>
          <w:sz w:val="24"/>
          <w:highlight w:val="none"/>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EA69D55">
      <w:pPr>
        <w:spacing w:line="400" w:lineRule="exact"/>
        <w:ind w:firstLine="480"/>
        <w:rPr>
          <w:rFonts w:ascii="宋体" w:hAnsi="宋体" w:eastAsia="宋体" w:cs="Times New Roman"/>
          <w:sz w:val="24"/>
          <w:highlight w:val="none"/>
        </w:rPr>
      </w:pPr>
      <w:r>
        <w:rPr>
          <w:rFonts w:hint="eastAsia" w:ascii="宋体" w:hAnsi="宋体" w:eastAsia="宋体" w:cs="Times New Roman"/>
          <w:sz w:val="24"/>
          <w:highlight w:val="none"/>
        </w:rPr>
        <w:t>注：每部分的得分保留小数点后两位，合计得分保留小数点后两位。</w:t>
      </w:r>
    </w:p>
    <w:p w14:paraId="08462939">
      <w:pPr>
        <w:spacing w:line="400" w:lineRule="exact"/>
        <w:jc w:val="left"/>
        <w:rPr>
          <w:rFonts w:ascii="宋体" w:hAnsi="宋体" w:eastAsia="宋体" w:cs="Times New Roman"/>
          <w:b/>
          <w:sz w:val="24"/>
          <w:highlight w:val="none"/>
        </w:rPr>
      </w:pPr>
    </w:p>
    <w:p w14:paraId="70017500">
      <w:pPr>
        <w:spacing w:line="600" w:lineRule="exact"/>
        <w:rPr>
          <w:rFonts w:ascii="黑体" w:hAnsi="黑体" w:eastAsia="黑体" w:cs="Times New Roman"/>
          <w:sz w:val="28"/>
          <w:szCs w:val="28"/>
          <w:highlight w:val="none"/>
        </w:rPr>
      </w:pPr>
      <w:r>
        <w:rPr>
          <w:rFonts w:hint="eastAsia" w:ascii="黑体" w:hAnsi="黑体" w:eastAsia="黑体" w:cs="Times New Roman"/>
          <w:sz w:val="28"/>
          <w:szCs w:val="28"/>
          <w:highlight w:val="none"/>
        </w:rPr>
        <w:t>二、评分标准</w:t>
      </w:r>
    </w:p>
    <w:bookmarkEnd w:id="11"/>
    <w:p w14:paraId="2D4EEDF2">
      <w:pPr>
        <w:rPr>
          <w:highlight w:val="none"/>
        </w:rPr>
      </w:pPr>
      <w:bookmarkStart w:id="14" w:name="_Toc213847317"/>
    </w:p>
    <w:tbl>
      <w:tblPr>
        <w:tblStyle w:val="32"/>
        <w:tblW w:w="49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782"/>
        <w:gridCol w:w="1108"/>
        <w:gridCol w:w="5575"/>
        <w:gridCol w:w="847"/>
      </w:tblGrid>
      <w:tr w14:paraId="7997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tcBorders>
              <w:tl2br w:val="nil"/>
              <w:tr2bl w:val="nil"/>
            </w:tcBorders>
            <w:vAlign w:val="center"/>
          </w:tcPr>
          <w:p w14:paraId="7E994CDF">
            <w:pPr>
              <w:widowControl/>
              <w:kinsoku w:val="0"/>
              <w:autoSpaceDE w:val="0"/>
              <w:autoSpaceDN w:val="0"/>
              <w:adjustRightInd w:val="0"/>
              <w:snapToGrid w:val="0"/>
              <w:spacing w:line="400" w:lineRule="exact"/>
              <w:jc w:val="center"/>
              <w:textAlignment w:val="baseline"/>
              <w:rPr>
                <w:rFonts w:hint="eastAsia" w:ascii="宋体" w:hAnsi="宋体" w:eastAsia="宋体" w:cs="宋体"/>
                <w:b/>
                <w:bCs/>
                <w:snapToGrid w:val="0"/>
                <w:color w:val="000000"/>
                <w:sz w:val="24"/>
                <w:szCs w:val="24"/>
                <w:highlight w:val="none"/>
                <w:lang w:eastAsia="en-US"/>
              </w:rPr>
            </w:pPr>
            <w:r>
              <w:rPr>
                <w:rFonts w:hint="eastAsia" w:ascii="宋体" w:hAnsi="宋体" w:eastAsia="宋体" w:cs="宋体"/>
                <w:b/>
                <w:bCs/>
                <w:snapToGrid w:val="0"/>
                <w:color w:val="000000"/>
                <w:sz w:val="24"/>
                <w:szCs w:val="24"/>
                <w:highlight w:val="none"/>
                <w:lang w:eastAsia="en-US"/>
              </w:rPr>
              <w:t>评分项</w:t>
            </w:r>
          </w:p>
        </w:tc>
        <w:tc>
          <w:tcPr>
            <w:tcW w:w="407" w:type="pct"/>
            <w:tcBorders>
              <w:tl2br w:val="nil"/>
              <w:tr2bl w:val="nil"/>
            </w:tcBorders>
            <w:vAlign w:val="center"/>
          </w:tcPr>
          <w:p w14:paraId="736DFCF8">
            <w:pPr>
              <w:widowControl/>
              <w:kinsoku w:val="0"/>
              <w:autoSpaceDE w:val="0"/>
              <w:autoSpaceDN w:val="0"/>
              <w:adjustRightInd w:val="0"/>
              <w:snapToGrid w:val="0"/>
              <w:spacing w:line="400" w:lineRule="exact"/>
              <w:jc w:val="center"/>
              <w:textAlignment w:val="baseline"/>
              <w:rPr>
                <w:rFonts w:hint="eastAsia" w:ascii="宋体" w:hAnsi="宋体" w:eastAsia="宋体" w:cs="宋体"/>
                <w:b/>
                <w:bCs/>
                <w:snapToGrid w:val="0"/>
                <w:color w:val="000000"/>
                <w:sz w:val="24"/>
                <w:szCs w:val="24"/>
                <w:highlight w:val="none"/>
                <w:lang w:eastAsia="en-US"/>
              </w:rPr>
            </w:pPr>
            <w:r>
              <w:rPr>
                <w:rFonts w:hint="eastAsia" w:ascii="宋体" w:hAnsi="宋体" w:eastAsia="宋体" w:cs="宋体"/>
                <w:b/>
                <w:bCs/>
                <w:snapToGrid w:val="0"/>
                <w:color w:val="000000"/>
                <w:sz w:val="24"/>
                <w:szCs w:val="24"/>
                <w:highlight w:val="none"/>
                <w:lang w:eastAsia="en-US"/>
              </w:rPr>
              <w:t>序号</w:t>
            </w:r>
          </w:p>
        </w:tc>
        <w:tc>
          <w:tcPr>
            <w:tcW w:w="577" w:type="pct"/>
            <w:tcBorders>
              <w:tl2br w:val="nil"/>
              <w:tr2bl w:val="nil"/>
            </w:tcBorders>
            <w:vAlign w:val="center"/>
          </w:tcPr>
          <w:p w14:paraId="3ADAAA8B">
            <w:pPr>
              <w:widowControl/>
              <w:kinsoku w:val="0"/>
              <w:autoSpaceDE w:val="0"/>
              <w:autoSpaceDN w:val="0"/>
              <w:adjustRightInd w:val="0"/>
              <w:snapToGrid w:val="0"/>
              <w:spacing w:line="400" w:lineRule="exact"/>
              <w:jc w:val="center"/>
              <w:textAlignment w:val="baseline"/>
              <w:rPr>
                <w:rFonts w:hint="eastAsia" w:ascii="宋体" w:hAnsi="宋体" w:eastAsia="宋体" w:cs="宋体"/>
                <w:b/>
                <w:bCs/>
                <w:snapToGrid w:val="0"/>
                <w:color w:val="000000"/>
                <w:sz w:val="24"/>
                <w:szCs w:val="24"/>
                <w:highlight w:val="none"/>
                <w:lang w:eastAsia="en-US"/>
              </w:rPr>
            </w:pPr>
            <w:r>
              <w:rPr>
                <w:rFonts w:hint="eastAsia" w:ascii="宋体" w:hAnsi="宋体" w:eastAsia="宋体" w:cs="宋体"/>
                <w:b/>
                <w:bCs/>
                <w:snapToGrid w:val="0"/>
                <w:color w:val="000000"/>
                <w:sz w:val="24"/>
                <w:szCs w:val="24"/>
                <w:highlight w:val="none"/>
                <w:lang w:eastAsia="en-US"/>
              </w:rPr>
              <w:t>评分因素</w:t>
            </w:r>
          </w:p>
        </w:tc>
        <w:tc>
          <w:tcPr>
            <w:tcW w:w="2907" w:type="pct"/>
            <w:tcBorders>
              <w:tl2br w:val="nil"/>
              <w:tr2bl w:val="nil"/>
            </w:tcBorders>
            <w:vAlign w:val="center"/>
          </w:tcPr>
          <w:p w14:paraId="3A5BAD86">
            <w:pPr>
              <w:widowControl/>
              <w:kinsoku w:val="0"/>
              <w:autoSpaceDE w:val="0"/>
              <w:autoSpaceDN w:val="0"/>
              <w:adjustRightInd w:val="0"/>
              <w:snapToGrid w:val="0"/>
              <w:spacing w:line="400" w:lineRule="exact"/>
              <w:jc w:val="center"/>
              <w:textAlignment w:val="baseline"/>
              <w:rPr>
                <w:rFonts w:hint="eastAsia" w:ascii="宋体" w:hAnsi="宋体" w:eastAsia="宋体" w:cs="宋体"/>
                <w:b/>
                <w:bCs/>
                <w:snapToGrid w:val="0"/>
                <w:color w:val="000000"/>
                <w:sz w:val="24"/>
                <w:szCs w:val="24"/>
                <w:highlight w:val="none"/>
                <w:lang w:eastAsia="en-US"/>
              </w:rPr>
            </w:pPr>
            <w:r>
              <w:rPr>
                <w:rFonts w:hint="eastAsia" w:ascii="宋体" w:hAnsi="宋体" w:eastAsia="宋体" w:cs="宋体"/>
                <w:b/>
                <w:bCs/>
                <w:snapToGrid w:val="0"/>
                <w:color w:val="000000"/>
                <w:sz w:val="24"/>
                <w:szCs w:val="24"/>
                <w:highlight w:val="none"/>
                <w:lang w:eastAsia="en-US"/>
              </w:rPr>
              <w:t>评分细则</w:t>
            </w:r>
          </w:p>
        </w:tc>
        <w:tc>
          <w:tcPr>
            <w:tcW w:w="441" w:type="pct"/>
            <w:tcBorders>
              <w:tl2br w:val="nil"/>
              <w:tr2bl w:val="nil"/>
            </w:tcBorders>
            <w:vAlign w:val="center"/>
          </w:tcPr>
          <w:p w14:paraId="3B4EE5A1">
            <w:pPr>
              <w:widowControl/>
              <w:kinsoku w:val="0"/>
              <w:autoSpaceDE w:val="0"/>
              <w:autoSpaceDN w:val="0"/>
              <w:adjustRightInd w:val="0"/>
              <w:snapToGrid w:val="0"/>
              <w:spacing w:line="400" w:lineRule="exact"/>
              <w:jc w:val="center"/>
              <w:textAlignment w:val="baseline"/>
              <w:rPr>
                <w:rFonts w:hint="eastAsia" w:ascii="宋体" w:hAnsi="宋体" w:eastAsia="宋体" w:cs="宋体"/>
                <w:b/>
                <w:bCs/>
                <w:snapToGrid w:val="0"/>
                <w:color w:val="000000"/>
                <w:sz w:val="24"/>
                <w:szCs w:val="24"/>
                <w:highlight w:val="none"/>
                <w:lang w:eastAsia="en-US"/>
              </w:rPr>
            </w:pPr>
            <w:r>
              <w:rPr>
                <w:rFonts w:hint="eastAsia" w:ascii="宋体" w:hAnsi="宋体" w:eastAsia="宋体" w:cs="宋体"/>
                <w:b/>
                <w:bCs/>
                <w:snapToGrid w:val="0"/>
                <w:color w:val="000000"/>
                <w:sz w:val="24"/>
                <w:szCs w:val="24"/>
                <w:highlight w:val="none"/>
                <w:lang w:eastAsia="en-US"/>
              </w:rPr>
              <w:t>分值</w:t>
            </w:r>
          </w:p>
        </w:tc>
      </w:tr>
      <w:tr w14:paraId="398CC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tcBorders>
              <w:tl2br w:val="nil"/>
              <w:tr2bl w:val="nil"/>
            </w:tcBorders>
            <w:vAlign w:val="center"/>
          </w:tcPr>
          <w:p w14:paraId="0D21C811">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一、价格部分</w:t>
            </w:r>
          </w:p>
          <w:p w14:paraId="728232F3">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w:t>
            </w:r>
            <w:r>
              <w:rPr>
                <w:rFonts w:hint="eastAsia" w:ascii="宋体" w:hAnsi="宋体" w:cs="宋体"/>
                <w:snapToGrid w:val="0"/>
                <w:color w:val="000000"/>
                <w:sz w:val="24"/>
                <w:szCs w:val="24"/>
                <w:highlight w:val="none"/>
                <w:lang w:val="en-US" w:eastAsia="zh-CN"/>
              </w:rPr>
              <w:t>1</w:t>
            </w:r>
            <w:r>
              <w:rPr>
                <w:rFonts w:hint="eastAsia" w:ascii="宋体" w:hAnsi="宋体" w:eastAsia="宋体" w:cs="宋体"/>
                <w:snapToGrid w:val="0"/>
                <w:color w:val="000000"/>
                <w:sz w:val="24"/>
                <w:szCs w:val="24"/>
                <w:highlight w:val="none"/>
                <w:lang w:eastAsia="en-US"/>
              </w:rPr>
              <w:t>0分）</w:t>
            </w:r>
          </w:p>
        </w:tc>
        <w:tc>
          <w:tcPr>
            <w:tcW w:w="407" w:type="pct"/>
            <w:tcBorders>
              <w:tl2br w:val="nil"/>
              <w:tr2bl w:val="nil"/>
            </w:tcBorders>
            <w:noWrap/>
            <w:vAlign w:val="center"/>
          </w:tcPr>
          <w:p w14:paraId="316CAFFB">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1.1</w:t>
            </w:r>
          </w:p>
        </w:tc>
        <w:tc>
          <w:tcPr>
            <w:tcW w:w="577" w:type="pct"/>
            <w:tcBorders>
              <w:tl2br w:val="nil"/>
              <w:tr2bl w:val="nil"/>
            </w:tcBorders>
            <w:vAlign w:val="center"/>
          </w:tcPr>
          <w:p w14:paraId="2A05FC64">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投标报价</w:t>
            </w:r>
          </w:p>
        </w:tc>
        <w:tc>
          <w:tcPr>
            <w:tcW w:w="2907" w:type="pct"/>
            <w:tcBorders>
              <w:tl2br w:val="nil"/>
              <w:tr2bl w:val="nil"/>
            </w:tcBorders>
            <w:vAlign w:val="center"/>
          </w:tcPr>
          <w:p w14:paraId="7196F035">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满足招标文件要求且投标报价最低的投标报价为评标基准价，其价格为满分。其他投标人的价格分按照下列公式计算：</w:t>
            </w:r>
          </w:p>
          <w:p w14:paraId="5A8E24B3">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投标报价得分=（评标基准价/投标报价）×</w:t>
            </w:r>
            <w:r>
              <w:rPr>
                <w:rFonts w:hint="eastAsia" w:ascii="宋体" w:hAnsi="宋体" w:cs="宋体"/>
                <w:snapToGrid w:val="0"/>
                <w:color w:val="000000"/>
                <w:sz w:val="24"/>
                <w:szCs w:val="24"/>
                <w:highlight w:val="none"/>
                <w:lang w:val="en-US" w:eastAsia="zh-CN"/>
              </w:rPr>
              <w:t>1</w:t>
            </w:r>
            <w:r>
              <w:rPr>
                <w:rFonts w:hint="eastAsia" w:ascii="宋体" w:hAnsi="宋体" w:eastAsia="宋体" w:cs="宋体"/>
                <w:snapToGrid w:val="0"/>
                <w:color w:val="000000"/>
                <w:sz w:val="24"/>
                <w:szCs w:val="24"/>
                <w:highlight w:val="none"/>
              </w:rPr>
              <w:t>0分</w:t>
            </w:r>
          </w:p>
        </w:tc>
        <w:tc>
          <w:tcPr>
            <w:tcW w:w="441" w:type="pct"/>
            <w:tcBorders>
              <w:tl2br w:val="nil"/>
              <w:tr2bl w:val="nil"/>
            </w:tcBorders>
            <w:noWrap/>
            <w:vAlign w:val="center"/>
          </w:tcPr>
          <w:p w14:paraId="664B48C8">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cs="宋体"/>
                <w:snapToGrid w:val="0"/>
                <w:color w:val="000000"/>
                <w:sz w:val="24"/>
                <w:szCs w:val="24"/>
                <w:highlight w:val="none"/>
                <w:lang w:val="en-US" w:eastAsia="zh-CN"/>
              </w:rPr>
              <w:t>1</w:t>
            </w:r>
            <w:r>
              <w:rPr>
                <w:rFonts w:hint="eastAsia" w:ascii="宋体" w:hAnsi="宋体" w:eastAsia="宋体" w:cs="宋体"/>
                <w:snapToGrid w:val="0"/>
                <w:color w:val="000000"/>
                <w:sz w:val="24"/>
                <w:szCs w:val="24"/>
                <w:highlight w:val="none"/>
                <w:lang w:eastAsia="en-US"/>
              </w:rPr>
              <w:t>0</w:t>
            </w:r>
          </w:p>
        </w:tc>
      </w:tr>
      <w:tr w14:paraId="7765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restart"/>
            <w:tcBorders>
              <w:tl2br w:val="nil"/>
              <w:tr2bl w:val="nil"/>
            </w:tcBorders>
            <w:vAlign w:val="center"/>
          </w:tcPr>
          <w:p w14:paraId="4FE93FD3">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二、技术部分</w:t>
            </w:r>
          </w:p>
          <w:p w14:paraId="45E53055">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w:t>
            </w:r>
            <w:r>
              <w:rPr>
                <w:rFonts w:hint="eastAsia" w:ascii="宋体" w:hAnsi="宋体" w:cs="宋体"/>
                <w:snapToGrid w:val="0"/>
                <w:color w:val="000000"/>
                <w:sz w:val="24"/>
                <w:szCs w:val="24"/>
                <w:highlight w:val="none"/>
                <w:lang w:val="en-US" w:eastAsia="zh-CN"/>
              </w:rPr>
              <w:t>77</w:t>
            </w:r>
            <w:r>
              <w:rPr>
                <w:rFonts w:hint="eastAsia" w:ascii="宋体" w:hAnsi="宋体" w:eastAsia="宋体" w:cs="宋体"/>
                <w:snapToGrid w:val="0"/>
                <w:color w:val="000000"/>
                <w:sz w:val="24"/>
                <w:szCs w:val="24"/>
                <w:highlight w:val="none"/>
                <w:lang w:eastAsia="en-US"/>
              </w:rPr>
              <w:t>分）</w:t>
            </w:r>
          </w:p>
        </w:tc>
        <w:tc>
          <w:tcPr>
            <w:tcW w:w="407" w:type="pct"/>
            <w:tcBorders>
              <w:tl2br w:val="nil"/>
              <w:tr2bl w:val="nil"/>
            </w:tcBorders>
            <w:noWrap/>
            <w:vAlign w:val="center"/>
          </w:tcPr>
          <w:p w14:paraId="6133DB71">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lang w:eastAsia="en-US"/>
              </w:rPr>
              <w:t>2.</w:t>
            </w:r>
            <w:r>
              <w:rPr>
                <w:rFonts w:hint="eastAsia" w:ascii="宋体" w:hAnsi="宋体" w:eastAsia="宋体" w:cs="宋体"/>
                <w:snapToGrid w:val="0"/>
                <w:color w:val="000000"/>
                <w:sz w:val="24"/>
                <w:szCs w:val="24"/>
                <w:highlight w:val="none"/>
              </w:rPr>
              <w:t>1</w:t>
            </w:r>
          </w:p>
        </w:tc>
        <w:tc>
          <w:tcPr>
            <w:tcW w:w="577" w:type="pct"/>
            <w:tcBorders>
              <w:tl2br w:val="nil"/>
              <w:tr2bl w:val="nil"/>
            </w:tcBorders>
            <w:vAlign w:val="center"/>
          </w:tcPr>
          <w:p w14:paraId="4A5B273B">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技术性能指标响应情况</w:t>
            </w:r>
          </w:p>
        </w:tc>
        <w:tc>
          <w:tcPr>
            <w:tcW w:w="2907" w:type="pct"/>
            <w:tcBorders>
              <w:tl2br w:val="nil"/>
              <w:tr2bl w:val="nil"/>
            </w:tcBorders>
            <w:vAlign w:val="center"/>
          </w:tcPr>
          <w:p w14:paraId="0CB85085">
            <w:pPr>
              <w:snapToGrid w:val="0"/>
              <w:spacing w:line="400" w:lineRule="exact"/>
              <w:jc w:val="left"/>
              <w:rPr>
                <w:rFonts w:hint="eastAsia" w:ascii="宋体" w:hAnsi="宋体" w:eastAsia="宋体" w:cs="宋体"/>
                <w:sz w:val="24"/>
                <w:szCs w:val="24"/>
                <w:highlight w:val="none"/>
              </w:rPr>
            </w:pPr>
            <w:r>
              <w:rPr>
                <w:rFonts w:hint="eastAsia" w:ascii="宋体" w:hAnsi="宋体"/>
                <w:sz w:val="24"/>
                <w:highlight w:val="none"/>
              </w:rPr>
              <w:t>根据所投产品的主要技术指标的性能、技术参数的响应情况进行评审打分，产品符合招标文件要求，无负偏离得</w:t>
            </w:r>
            <w:r>
              <w:rPr>
                <w:rFonts w:hint="eastAsia" w:ascii="宋体" w:hAnsi="宋体"/>
                <w:sz w:val="24"/>
                <w:highlight w:val="none"/>
                <w:lang w:val="en-US" w:eastAsia="zh-CN"/>
              </w:rPr>
              <w:t>18</w:t>
            </w:r>
            <w:r>
              <w:rPr>
                <w:rFonts w:hint="eastAsia" w:ascii="宋体" w:hAnsi="宋体"/>
                <w:sz w:val="24"/>
                <w:highlight w:val="none"/>
              </w:rPr>
              <w:t>分。打“★”项参数有一项负偏离，则视为无效投标。</w:t>
            </w:r>
            <w:r>
              <w:rPr>
                <w:rFonts w:hint="eastAsia" w:ascii="宋体" w:hAnsi="宋体" w:eastAsia="宋体" w:cs="宋体"/>
                <w:sz w:val="24"/>
                <w:szCs w:val="24"/>
                <w:highlight w:val="none"/>
              </w:rPr>
              <w:t>打“</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”项有一项负偏离扣</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分，其余项有一项负偏离扣0.5分，扣完为止。</w:t>
            </w:r>
            <w:r>
              <w:rPr>
                <w:rFonts w:hint="eastAsia" w:ascii="宋体" w:hAnsi="宋体" w:eastAsia="宋体" w:cs="宋体"/>
                <w:b/>
                <w:bCs/>
                <w:snapToGrid w:val="0"/>
                <w:color w:val="000000"/>
                <w:sz w:val="24"/>
                <w:szCs w:val="24"/>
                <w:highlight w:val="none"/>
              </w:rPr>
              <w:t>（未按要求提供证明材料的视为负偏离）</w:t>
            </w:r>
          </w:p>
        </w:tc>
        <w:tc>
          <w:tcPr>
            <w:tcW w:w="441" w:type="pct"/>
            <w:tcBorders>
              <w:tl2br w:val="nil"/>
              <w:tr2bl w:val="nil"/>
            </w:tcBorders>
            <w:noWrap/>
            <w:vAlign w:val="center"/>
          </w:tcPr>
          <w:p w14:paraId="6C67B5BE">
            <w:pPr>
              <w:widowControl/>
              <w:kinsoku w:val="0"/>
              <w:autoSpaceDE w:val="0"/>
              <w:autoSpaceDN w:val="0"/>
              <w:adjustRightInd w:val="0"/>
              <w:snapToGrid w:val="0"/>
              <w:spacing w:line="400" w:lineRule="exact"/>
              <w:jc w:val="center"/>
              <w:textAlignment w:val="baseline"/>
              <w:rPr>
                <w:rFonts w:hint="default" w:ascii="宋体" w:hAnsi="宋体" w:eastAsia="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18</w:t>
            </w:r>
          </w:p>
        </w:tc>
      </w:tr>
      <w:tr w14:paraId="454A1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1BD4368D">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4E53DF0C">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lang w:eastAsia="en-US"/>
              </w:rPr>
              <w:t>2.</w:t>
            </w:r>
            <w:r>
              <w:rPr>
                <w:rFonts w:hint="eastAsia" w:ascii="宋体" w:hAnsi="宋体" w:eastAsia="宋体" w:cs="宋体"/>
                <w:snapToGrid w:val="0"/>
                <w:color w:val="000000"/>
                <w:sz w:val="24"/>
                <w:szCs w:val="24"/>
                <w:highlight w:val="none"/>
              </w:rPr>
              <w:t>2</w:t>
            </w:r>
          </w:p>
        </w:tc>
        <w:tc>
          <w:tcPr>
            <w:tcW w:w="577" w:type="pct"/>
            <w:tcBorders>
              <w:tl2br w:val="nil"/>
              <w:tr2bl w:val="nil"/>
            </w:tcBorders>
            <w:vAlign w:val="center"/>
          </w:tcPr>
          <w:p w14:paraId="2B066DEE">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现状及需求理解</w:t>
            </w:r>
          </w:p>
        </w:tc>
        <w:tc>
          <w:tcPr>
            <w:tcW w:w="2907" w:type="pct"/>
            <w:tcBorders>
              <w:tl2br w:val="nil"/>
              <w:tr2bl w:val="nil"/>
            </w:tcBorders>
            <w:vAlign w:val="center"/>
          </w:tcPr>
          <w:p w14:paraId="6F09A1B4">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Arial" w:cs="宋体"/>
                <w:sz w:val="24"/>
                <w:highlight w:val="none"/>
              </w:rPr>
              <w:t>投标人针对本项目提供</w:t>
            </w:r>
            <w:r>
              <w:rPr>
                <w:rFonts w:hint="eastAsia" w:ascii="宋体" w:hAnsi="宋体" w:eastAsia="宋体" w:cs="宋体"/>
                <w:sz w:val="24"/>
                <w:highlight w:val="none"/>
                <w:lang w:val="en-US" w:eastAsia="zh-CN"/>
              </w:rPr>
              <w:t>如下方案</w:t>
            </w:r>
            <w:r>
              <w:rPr>
                <w:rFonts w:hint="eastAsia" w:ascii="宋体" w:hAnsi="宋体" w:eastAsia="宋体" w:cs="宋体"/>
                <w:snapToGrid w:val="0"/>
                <w:color w:val="000000"/>
                <w:sz w:val="24"/>
                <w:szCs w:val="24"/>
                <w:highlight w:val="none"/>
              </w:rPr>
              <w:t>，包括①项目背景②现状及问题分析③合理化建议等方案。</w:t>
            </w:r>
            <w:r>
              <w:rPr>
                <w:rFonts w:hint="eastAsia" w:ascii="宋体" w:hAnsi="宋体" w:eastAsia="Arial" w:cs="宋体"/>
                <w:sz w:val="24"/>
                <w:highlight w:val="none"/>
              </w:rPr>
              <w:t>方案内容描述全面合理符合采购需求的得</w:t>
            </w:r>
            <w:r>
              <w:rPr>
                <w:rFonts w:hint="eastAsia" w:ascii="宋体" w:hAnsi="宋体" w:cs="宋体"/>
                <w:snapToGrid w:val="0"/>
                <w:color w:val="000000"/>
                <w:sz w:val="24"/>
                <w:szCs w:val="24"/>
                <w:highlight w:val="none"/>
                <w:lang w:val="en-US" w:eastAsia="zh-CN"/>
              </w:rPr>
              <w:t>9</w:t>
            </w:r>
            <w:r>
              <w:rPr>
                <w:rFonts w:hint="eastAsia" w:ascii="宋体" w:hAnsi="宋体" w:eastAsia="宋体" w:cs="宋体"/>
                <w:snapToGrid w:val="0"/>
                <w:color w:val="000000"/>
                <w:sz w:val="24"/>
                <w:szCs w:val="24"/>
                <w:highlight w:val="none"/>
              </w:rPr>
              <w:t>分，每有一项内容缺失的扣</w:t>
            </w:r>
            <w:r>
              <w:rPr>
                <w:rFonts w:hint="eastAsia" w:ascii="宋体" w:hAnsi="宋体" w:cs="宋体"/>
                <w:snapToGrid w:val="0"/>
                <w:color w:val="000000"/>
                <w:sz w:val="24"/>
                <w:szCs w:val="24"/>
                <w:highlight w:val="none"/>
                <w:lang w:val="en-US" w:eastAsia="zh-CN"/>
              </w:rPr>
              <w:t>3</w:t>
            </w:r>
            <w:r>
              <w:rPr>
                <w:rFonts w:hint="eastAsia" w:ascii="宋体" w:hAnsi="宋体" w:eastAsia="宋体" w:cs="宋体"/>
                <w:snapToGrid w:val="0"/>
                <w:color w:val="000000"/>
                <w:sz w:val="24"/>
                <w:szCs w:val="24"/>
                <w:highlight w:val="none"/>
              </w:rPr>
              <w:t>分；每有一项内容存在缺陷或不满足要求的扣</w:t>
            </w:r>
            <w:r>
              <w:rPr>
                <w:rFonts w:hint="eastAsia" w:ascii="宋体" w:hAnsi="宋体" w:cs="宋体"/>
                <w:snapToGrid w:val="0"/>
                <w:color w:val="000000"/>
                <w:sz w:val="24"/>
                <w:szCs w:val="24"/>
                <w:highlight w:val="none"/>
                <w:lang w:val="en-US" w:eastAsia="zh-CN"/>
              </w:rPr>
              <w:t>1.5</w:t>
            </w:r>
            <w:r>
              <w:rPr>
                <w:rFonts w:hint="eastAsia" w:ascii="宋体" w:hAnsi="宋体" w:eastAsia="宋体" w:cs="宋体"/>
                <w:snapToGrid w:val="0"/>
                <w:color w:val="000000"/>
                <w:sz w:val="24"/>
                <w:szCs w:val="24"/>
                <w:highlight w:val="none"/>
              </w:rPr>
              <w:t>分，扣完为止。</w:t>
            </w:r>
          </w:p>
          <w:p w14:paraId="1D228CBC">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b/>
                <w:bCs/>
                <w:snapToGrid w:val="0"/>
                <w:color w:val="000000"/>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441" w:type="pct"/>
            <w:tcBorders>
              <w:tl2br w:val="nil"/>
              <w:tr2bl w:val="nil"/>
            </w:tcBorders>
            <w:noWrap/>
            <w:vAlign w:val="center"/>
          </w:tcPr>
          <w:p w14:paraId="1FC002D5">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zh-CN"/>
              </w:rPr>
            </w:pPr>
            <w:r>
              <w:rPr>
                <w:rFonts w:hint="eastAsia" w:ascii="宋体" w:hAnsi="宋体" w:cs="宋体"/>
                <w:snapToGrid w:val="0"/>
                <w:color w:val="000000"/>
                <w:sz w:val="24"/>
                <w:szCs w:val="24"/>
                <w:highlight w:val="none"/>
                <w:lang w:val="en-US" w:eastAsia="zh-CN"/>
              </w:rPr>
              <w:t>9</w:t>
            </w:r>
          </w:p>
        </w:tc>
      </w:tr>
      <w:tr w14:paraId="1233E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0AF0A281">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57CD1BF1">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2.3</w:t>
            </w:r>
          </w:p>
        </w:tc>
        <w:tc>
          <w:tcPr>
            <w:tcW w:w="577" w:type="pct"/>
            <w:tcBorders>
              <w:tl2br w:val="nil"/>
              <w:tr2bl w:val="nil"/>
            </w:tcBorders>
            <w:vAlign w:val="center"/>
          </w:tcPr>
          <w:p w14:paraId="4F548982">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总体技术方案</w:t>
            </w:r>
          </w:p>
        </w:tc>
        <w:tc>
          <w:tcPr>
            <w:tcW w:w="2907" w:type="pct"/>
            <w:tcBorders>
              <w:tl2br w:val="nil"/>
              <w:tr2bl w:val="nil"/>
            </w:tcBorders>
            <w:vAlign w:val="center"/>
          </w:tcPr>
          <w:p w14:paraId="11E87F71">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Arial" w:cs="宋体"/>
                <w:sz w:val="24"/>
                <w:highlight w:val="none"/>
              </w:rPr>
              <w:t>投标人针对本项目提供</w:t>
            </w:r>
            <w:r>
              <w:rPr>
                <w:rFonts w:hint="eastAsia" w:ascii="宋体" w:hAnsi="宋体" w:eastAsia="宋体" w:cs="宋体"/>
                <w:snapToGrid w:val="0"/>
                <w:color w:val="000000"/>
                <w:sz w:val="24"/>
                <w:szCs w:val="24"/>
                <w:highlight w:val="none"/>
                <w:lang w:val="en-US" w:eastAsia="zh-CN"/>
              </w:rPr>
              <w:t>深化</w:t>
            </w:r>
            <w:r>
              <w:rPr>
                <w:rFonts w:hint="eastAsia" w:ascii="宋体" w:hAnsi="宋体" w:eastAsia="宋体" w:cs="宋体"/>
                <w:snapToGrid w:val="0"/>
                <w:color w:val="000000"/>
                <w:sz w:val="24"/>
                <w:szCs w:val="24"/>
                <w:highlight w:val="none"/>
              </w:rPr>
              <w:t>技术方案,包括①设计思路②架构设计③技术方案(具体内容包括:网页端包括地理信息服务</w:t>
            </w:r>
            <w:r>
              <w:rPr>
                <w:rFonts w:hint="eastAsia" w:ascii="宋体" w:hAnsi="宋体" w:eastAsia="宋体" w:cs="宋体"/>
                <w:snapToGrid w:val="0"/>
                <w:color w:val="000000"/>
                <w:sz w:val="24"/>
                <w:szCs w:val="24"/>
                <w:highlight w:val="none"/>
                <w:lang w:eastAsia="zh-CN"/>
              </w:rPr>
              <w:t>、</w:t>
            </w:r>
            <w:r>
              <w:rPr>
                <w:rFonts w:hint="eastAsia" w:ascii="宋体" w:hAnsi="宋体" w:eastAsia="宋体" w:cs="宋体"/>
                <w:snapToGrid w:val="0"/>
                <w:color w:val="000000"/>
                <w:sz w:val="24"/>
                <w:szCs w:val="24"/>
                <w:highlight w:val="none"/>
              </w:rPr>
              <w:t>泵站运行监控</w:t>
            </w:r>
            <w:r>
              <w:rPr>
                <w:rFonts w:hint="eastAsia" w:ascii="宋体" w:hAnsi="宋体" w:eastAsia="宋体" w:cs="宋体"/>
                <w:snapToGrid w:val="0"/>
                <w:color w:val="000000"/>
                <w:sz w:val="24"/>
                <w:szCs w:val="24"/>
                <w:highlight w:val="none"/>
                <w:lang w:eastAsia="zh-CN"/>
              </w:rPr>
              <w:t>、</w:t>
            </w:r>
            <w:r>
              <w:rPr>
                <w:rFonts w:hint="eastAsia" w:ascii="宋体" w:hAnsi="宋体" w:eastAsia="宋体" w:cs="宋体"/>
                <w:snapToGrid w:val="0"/>
                <w:color w:val="000000"/>
                <w:sz w:val="24"/>
                <w:szCs w:val="24"/>
                <w:highlight w:val="none"/>
              </w:rPr>
              <w:t>视频指挥调度</w:t>
            </w:r>
            <w:r>
              <w:rPr>
                <w:rFonts w:hint="eastAsia" w:ascii="宋体" w:hAnsi="宋体" w:eastAsia="宋体" w:cs="宋体"/>
                <w:snapToGrid w:val="0"/>
                <w:color w:val="000000"/>
                <w:sz w:val="24"/>
                <w:szCs w:val="24"/>
                <w:highlight w:val="none"/>
                <w:lang w:eastAsia="zh-CN"/>
              </w:rPr>
              <w:t>、</w:t>
            </w:r>
            <w:r>
              <w:rPr>
                <w:rFonts w:hint="eastAsia" w:ascii="宋体" w:hAnsi="宋体" w:eastAsia="宋体" w:cs="宋体"/>
                <w:snapToGrid w:val="0"/>
                <w:color w:val="000000"/>
                <w:sz w:val="24"/>
                <w:szCs w:val="24"/>
                <w:highlight w:val="none"/>
              </w:rPr>
              <w:t>决策支持和运维评价</w:t>
            </w:r>
            <w:r>
              <w:rPr>
                <w:rFonts w:hint="eastAsia" w:ascii="宋体" w:hAnsi="宋体" w:eastAsia="宋体" w:cs="宋体"/>
                <w:snapToGrid w:val="0"/>
                <w:color w:val="000000"/>
                <w:sz w:val="24"/>
                <w:szCs w:val="24"/>
                <w:highlight w:val="none"/>
                <w:lang w:eastAsia="zh-CN"/>
              </w:rPr>
              <w:t>、</w:t>
            </w:r>
            <w:r>
              <w:rPr>
                <w:rFonts w:hint="eastAsia" w:ascii="宋体" w:hAnsi="宋体" w:eastAsia="宋体" w:cs="宋体"/>
                <w:snapToGrid w:val="0"/>
                <w:color w:val="000000"/>
                <w:sz w:val="24"/>
                <w:szCs w:val="24"/>
                <w:highlight w:val="none"/>
              </w:rPr>
              <w:t>平台运行管理</w:t>
            </w:r>
            <w:r>
              <w:rPr>
                <w:rFonts w:hint="eastAsia" w:ascii="宋体" w:hAnsi="宋体" w:eastAsia="宋体" w:cs="宋体"/>
                <w:snapToGrid w:val="0"/>
                <w:color w:val="000000"/>
                <w:sz w:val="24"/>
                <w:szCs w:val="24"/>
                <w:highlight w:val="none"/>
                <w:lang w:eastAsia="zh-CN"/>
              </w:rPr>
              <w:t>、</w:t>
            </w:r>
            <w:r>
              <w:rPr>
                <w:rFonts w:hint="eastAsia" w:ascii="宋体" w:hAnsi="宋体" w:eastAsia="宋体" w:cs="宋体"/>
                <w:snapToGrid w:val="0"/>
                <w:color w:val="000000"/>
                <w:sz w:val="24"/>
                <w:szCs w:val="24"/>
                <w:highlight w:val="none"/>
              </w:rPr>
              <w:t>运行监管移动端</w:t>
            </w:r>
            <w:r>
              <w:rPr>
                <w:rFonts w:hint="eastAsia" w:ascii="宋体" w:hAnsi="宋体" w:eastAsia="宋体" w:cs="宋体"/>
                <w:snapToGrid w:val="0"/>
                <w:color w:val="000000"/>
                <w:sz w:val="24"/>
                <w:szCs w:val="24"/>
                <w:highlight w:val="none"/>
                <w:lang w:eastAsia="zh-CN"/>
              </w:rPr>
              <w:t>、</w:t>
            </w:r>
            <w:r>
              <w:rPr>
                <w:rFonts w:hint="eastAsia" w:ascii="宋体" w:hAnsi="宋体" w:eastAsia="宋体" w:cs="宋体"/>
                <w:snapToGrid w:val="0"/>
                <w:color w:val="000000"/>
                <w:sz w:val="24"/>
                <w:szCs w:val="24"/>
                <w:highlight w:val="none"/>
              </w:rPr>
              <w:t>后台管理)</w:t>
            </w:r>
            <w:r>
              <w:rPr>
                <w:rFonts w:hint="eastAsia" w:ascii="宋体" w:hAnsi="宋体" w:eastAsia="Arial" w:cs="宋体"/>
                <w:sz w:val="24"/>
                <w:highlight w:val="none"/>
              </w:rPr>
              <w:t>方案内容描述全面合理符合采购需求的</w:t>
            </w:r>
            <w:r>
              <w:rPr>
                <w:rFonts w:hint="eastAsia" w:ascii="宋体" w:hAnsi="宋体" w:eastAsia="宋体" w:cs="宋体"/>
                <w:snapToGrid w:val="0"/>
                <w:color w:val="000000"/>
                <w:sz w:val="24"/>
                <w:szCs w:val="24"/>
                <w:highlight w:val="none"/>
              </w:rPr>
              <w:t>得</w:t>
            </w:r>
            <w:r>
              <w:rPr>
                <w:rFonts w:hint="eastAsia" w:ascii="宋体" w:hAnsi="宋体" w:cs="宋体"/>
                <w:snapToGrid w:val="0"/>
                <w:color w:val="000000"/>
                <w:sz w:val="24"/>
                <w:szCs w:val="24"/>
                <w:highlight w:val="none"/>
                <w:lang w:val="en-US" w:eastAsia="zh-CN"/>
              </w:rPr>
              <w:t>9</w:t>
            </w:r>
            <w:r>
              <w:rPr>
                <w:rFonts w:hint="eastAsia" w:ascii="宋体" w:hAnsi="宋体" w:eastAsia="宋体" w:cs="宋体"/>
                <w:snapToGrid w:val="0"/>
                <w:color w:val="000000"/>
                <w:sz w:val="24"/>
                <w:szCs w:val="24"/>
                <w:highlight w:val="none"/>
              </w:rPr>
              <w:t>分，每有一项内容缺失的扣</w:t>
            </w:r>
            <w:r>
              <w:rPr>
                <w:rFonts w:hint="eastAsia" w:ascii="宋体" w:hAnsi="宋体" w:cs="宋体"/>
                <w:snapToGrid w:val="0"/>
                <w:color w:val="000000"/>
                <w:sz w:val="24"/>
                <w:szCs w:val="24"/>
                <w:highlight w:val="none"/>
                <w:lang w:val="en-US" w:eastAsia="zh-CN"/>
              </w:rPr>
              <w:t>3</w:t>
            </w:r>
            <w:r>
              <w:rPr>
                <w:rFonts w:hint="eastAsia" w:ascii="宋体" w:hAnsi="宋体" w:eastAsia="宋体" w:cs="宋体"/>
                <w:snapToGrid w:val="0"/>
                <w:color w:val="000000"/>
                <w:sz w:val="24"/>
                <w:szCs w:val="24"/>
                <w:highlight w:val="none"/>
              </w:rPr>
              <w:t>分;每有一项内容存在缺陷或不满足要求的扣1</w:t>
            </w:r>
            <w:r>
              <w:rPr>
                <w:rFonts w:hint="eastAsia" w:ascii="宋体" w:hAnsi="宋体" w:cs="宋体"/>
                <w:snapToGrid w:val="0"/>
                <w:color w:val="000000"/>
                <w:sz w:val="24"/>
                <w:szCs w:val="24"/>
                <w:highlight w:val="none"/>
                <w:lang w:val="en-US" w:eastAsia="zh-CN"/>
              </w:rPr>
              <w:t>.5</w:t>
            </w:r>
            <w:r>
              <w:rPr>
                <w:rFonts w:hint="eastAsia" w:ascii="宋体" w:hAnsi="宋体" w:eastAsia="宋体" w:cs="宋体"/>
                <w:snapToGrid w:val="0"/>
                <w:color w:val="000000"/>
                <w:sz w:val="24"/>
                <w:szCs w:val="24"/>
                <w:highlight w:val="none"/>
              </w:rPr>
              <w:t>分，扣完为止。</w:t>
            </w:r>
          </w:p>
          <w:p w14:paraId="1EF09234">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b/>
                <w:bCs/>
                <w:snapToGrid w:val="0"/>
                <w:color w:val="000000"/>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441" w:type="pct"/>
            <w:tcBorders>
              <w:tl2br w:val="nil"/>
              <w:tr2bl w:val="nil"/>
            </w:tcBorders>
            <w:noWrap/>
            <w:vAlign w:val="center"/>
          </w:tcPr>
          <w:p w14:paraId="61F8083C">
            <w:pPr>
              <w:widowControl/>
              <w:kinsoku w:val="0"/>
              <w:autoSpaceDE w:val="0"/>
              <w:autoSpaceDN w:val="0"/>
              <w:adjustRightInd w:val="0"/>
              <w:snapToGrid w:val="0"/>
              <w:spacing w:line="400" w:lineRule="exact"/>
              <w:jc w:val="center"/>
              <w:textAlignment w:val="baseline"/>
              <w:rPr>
                <w:rFonts w:hint="default" w:ascii="宋体" w:hAnsi="宋体" w:eastAsia="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9</w:t>
            </w:r>
          </w:p>
        </w:tc>
      </w:tr>
      <w:tr w14:paraId="54127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16CDDA0C">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56B2DA85">
            <w:pPr>
              <w:widowControl/>
              <w:kinsoku w:val="0"/>
              <w:autoSpaceDE w:val="0"/>
              <w:autoSpaceDN w:val="0"/>
              <w:adjustRightInd w:val="0"/>
              <w:snapToGrid w:val="0"/>
              <w:spacing w:line="400" w:lineRule="exact"/>
              <w:jc w:val="center"/>
              <w:textAlignment w:val="baseline"/>
              <w:rPr>
                <w:rFonts w:hint="default" w:ascii="宋体" w:hAnsi="宋体" w:eastAsia="宋体" w:cs="宋体"/>
                <w:snapToGrid w:val="0"/>
                <w:color w:val="000000"/>
                <w:sz w:val="24"/>
                <w:szCs w:val="24"/>
                <w:highlight w:val="none"/>
                <w:lang w:val="en-US" w:eastAsia="zh-CN"/>
              </w:rPr>
            </w:pPr>
            <w:r>
              <w:rPr>
                <w:rFonts w:hint="eastAsia" w:ascii="宋体" w:hAnsi="宋体" w:eastAsia="宋体" w:cs="宋体"/>
                <w:snapToGrid w:val="0"/>
                <w:color w:val="000000"/>
                <w:sz w:val="24"/>
                <w:szCs w:val="24"/>
                <w:highlight w:val="none"/>
                <w:lang w:val="en-US" w:eastAsia="zh-CN"/>
              </w:rPr>
              <w:t>2.4</w:t>
            </w:r>
          </w:p>
        </w:tc>
        <w:tc>
          <w:tcPr>
            <w:tcW w:w="577" w:type="pct"/>
            <w:tcBorders>
              <w:tl2br w:val="nil"/>
              <w:tr2bl w:val="nil"/>
            </w:tcBorders>
            <w:vAlign w:val="center"/>
          </w:tcPr>
          <w:p w14:paraId="18567C9F">
            <w:pPr>
              <w:widowControl/>
              <w:kinsoku w:val="0"/>
              <w:autoSpaceDE w:val="0"/>
              <w:autoSpaceDN w:val="0"/>
              <w:adjustRightInd w:val="0"/>
              <w:snapToGrid w:val="0"/>
              <w:spacing w:line="400" w:lineRule="exact"/>
              <w:jc w:val="center"/>
              <w:textAlignment w:val="baseline"/>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系统对接方案</w:t>
            </w:r>
          </w:p>
        </w:tc>
        <w:tc>
          <w:tcPr>
            <w:tcW w:w="2907" w:type="pct"/>
            <w:tcBorders>
              <w:tl2br w:val="nil"/>
              <w:tr2bl w:val="nil"/>
            </w:tcBorders>
            <w:vAlign w:val="center"/>
          </w:tcPr>
          <w:p w14:paraId="7E475A77">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Arial" w:cs="宋体"/>
                <w:sz w:val="24"/>
                <w:highlight w:val="none"/>
              </w:rPr>
              <w:t>投标人针对本项目</w:t>
            </w:r>
            <w:r>
              <w:rPr>
                <w:rFonts w:hint="eastAsia" w:ascii="宋体" w:hAnsi="宋体" w:eastAsia="宋体" w:cs="宋体"/>
                <w:sz w:val="24"/>
                <w:highlight w:val="none"/>
                <w:lang w:val="en-US" w:eastAsia="zh-CN"/>
              </w:rPr>
              <w:t>提供对接方案，</w:t>
            </w:r>
            <w:r>
              <w:rPr>
                <w:rFonts w:hint="eastAsia" w:ascii="宋体" w:hAnsi="宋体" w:eastAsia="宋体" w:cs="宋体"/>
                <w:snapToGrid w:val="0"/>
                <w:color w:val="000000"/>
                <w:sz w:val="24"/>
                <w:szCs w:val="24"/>
                <w:highlight w:val="none"/>
                <w:lang w:val="en-US" w:eastAsia="zh-CN"/>
              </w:rPr>
              <w:t>①</w:t>
            </w:r>
            <w:r>
              <w:rPr>
                <w:rFonts w:hint="eastAsia" w:ascii="宋体" w:hAnsi="宋体" w:eastAsia="宋体" w:cs="宋体"/>
                <w:snapToGrid w:val="0"/>
                <w:color w:val="000000"/>
                <w:sz w:val="24"/>
                <w:szCs w:val="24"/>
                <w:highlight w:val="none"/>
              </w:rPr>
              <w:t>国产化信创环境支持方案</w:t>
            </w:r>
            <w:r>
              <w:rPr>
                <w:rFonts w:hint="eastAsia" w:ascii="宋体" w:hAnsi="宋体" w:eastAsia="宋体" w:cs="宋体"/>
                <w:snapToGrid w:val="0"/>
                <w:color w:val="000000"/>
                <w:sz w:val="24"/>
                <w:szCs w:val="24"/>
                <w:highlight w:val="none"/>
                <w:lang w:val="en-US" w:eastAsia="zh-CN"/>
              </w:rPr>
              <w:t>②</w:t>
            </w:r>
            <w:r>
              <w:rPr>
                <w:rFonts w:hint="eastAsia" w:ascii="宋体" w:hAnsi="宋体" w:cs="宋体"/>
                <w:snapToGrid w:val="0"/>
                <w:color w:val="000000"/>
                <w:sz w:val="24"/>
                <w:szCs w:val="24"/>
                <w:highlight w:val="none"/>
                <w:lang w:val="en-US" w:eastAsia="zh-CN"/>
              </w:rPr>
              <w:t>与</w:t>
            </w:r>
            <w:r>
              <w:rPr>
                <w:rFonts w:hint="eastAsia" w:ascii="宋体" w:hAnsi="宋体" w:eastAsia="宋体" w:cs="宋体"/>
                <w:snapToGrid w:val="0"/>
                <w:color w:val="000000"/>
                <w:sz w:val="24"/>
                <w:szCs w:val="24"/>
                <w:highlight w:val="none"/>
              </w:rPr>
              <w:t>物联网平台</w:t>
            </w:r>
            <w:r>
              <w:rPr>
                <w:rFonts w:hint="eastAsia" w:ascii="宋体" w:hAnsi="宋体" w:cs="宋体"/>
                <w:snapToGrid w:val="0"/>
                <w:color w:val="000000"/>
                <w:sz w:val="24"/>
                <w:szCs w:val="24"/>
                <w:highlight w:val="none"/>
                <w:lang w:eastAsia="zh-CN"/>
              </w:rPr>
              <w:t>的</w:t>
            </w:r>
            <w:r>
              <w:rPr>
                <w:rFonts w:hint="eastAsia" w:ascii="宋体" w:hAnsi="宋体" w:eastAsia="宋体" w:cs="宋体"/>
                <w:snapToGrid w:val="0"/>
                <w:color w:val="000000"/>
                <w:sz w:val="24"/>
                <w:szCs w:val="24"/>
                <w:highlight w:val="none"/>
              </w:rPr>
              <w:t>对接方案</w:t>
            </w:r>
            <w:r>
              <w:rPr>
                <w:rFonts w:hint="eastAsia" w:ascii="宋体" w:hAnsi="宋体" w:eastAsia="宋体" w:cs="宋体"/>
                <w:snapToGrid w:val="0"/>
                <w:color w:val="000000"/>
                <w:sz w:val="24"/>
                <w:szCs w:val="24"/>
                <w:highlight w:val="none"/>
                <w:lang w:val="en-US" w:eastAsia="zh-CN"/>
              </w:rPr>
              <w:t>③</w:t>
            </w:r>
            <w:r>
              <w:rPr>
                <w:rFonts w:hint="eastAsia" w:ascii="宋体" w:hAnsi="宋体" w:cs="宋体"/>
                <w:snapToGrid w:val="0"/>
                <w:color w:val="000000"/>
                <w:sz w:val="24"/>
                <w:szCs w:val="24"/>
                <w:highlight w:val="none"/>
                <w:lang w:val="en-US" w:eastAsia="zh-CN"/>
              </w:rPr>
              <w:t>与</w:t>
            </w:r>
            <w:r>
              <w:rPr>
                <w:rFonts w:hint="eastAsia" w:ascii="宋体" w:hAnsi="宋体" w:eastAsia="宋体" w:cs="宋体"/>
                <w:snapToGrid w:val="0"/>
                <w:color w:val="000000"/>
                <w:sz w:val="24"/>
                <w:szCs w:val="24"/>
                <w:highlight w:val="none"/>
              </w:rPr>
              <w:t>数据中台</w:t>
            </w:r>
            <w:r>
              <w:rPr>
                <w:rFonts w:hint="eastAsia" w:ascii="宋体" w:hAnsi="宋体" w:cs="宋体"/>
                <w:snapToGrid w:val="0"/>
                <w:color w:val="000000"/>
                <w:sz w:val="24"/>
                <w:szCs w:val="24"/>
                <w:highlight w:val="none"/>
                <w:lang w:eastAsia="zh-CN"/>
              </w:rPr>
              <w:t>、</w:t>
            </w:r>
            <w:r>
              <w:rPr>
                <w:rFonts w:hint="eastAsia" w:ascii="宋体" w:hAnsi="宋体" w:cs="宋体"/>
                <w:snapToGrid w:val="0"/>
                <w:color w:val="000000"/>
                <w:sz w:val="24"/>
                <w:szCs w:val="24"/>
                <w:highlight w:val="none"/>
                <w:lang w:val="en-US" w:eastAsia="zh-CN"/>
              </w:rPr>
              <w:t>与</w:t>
            </w:r>
            <w:r>
              <w:rPr>
                <w:rFonts w:hint="eastAsia" w:ascii="宋体" w:hAnsi="宋体" w:eastAsia="宋体" w:cs="宋体"/>
                <w:snapToGrid w:val="0"/>
                <w:color w:val="000000"/>
                <w:sz w:val="24"/>
                <w:szCs w:val="24"/>
                <w:highlight w:val="none"/>
              </w:rPr>
              <w:t>江阴市现有公路管理相关部门信息化系统对接方案</w:t>
            </w:r>
            <w:r>
              <w:rPr>
                <w:rFonts w:hint="eastAsia" w:ascii="宋体" w:hAnsi="宋体" w:eastAsia="宋体" w:cs="宋体"/>
                <w:snapToGrid w:val="0"/>
                <w:color w:val="000000"/>
                <w:sz w:val="24"/>
                <w:szCs w:val="24"/>
                <w:highlight w:val="none"/>
                <w:lang w:eastAsia="zh-CN"/>
              </w:rPr>
              <w:t>；</w:t>
            </w:r>
            <w:r>
              <w:rPr>
                <w:rFonts w:hint="eastAsia" w:ascii="宋体" w:hAnsi="宋体" w:eastAsia="Arial" w:cs="宋体"/>
                <w:sz w:val="24"/>
                <w:highlight w:val="none"/>
              </w:rPr>
              <w:t>方案内容描述全面合理符合采购需求的</w:t>
            </w:r>
            <w:r>
              <w:rPr>
                <w:rFonts w:hint="eastAsia" w:ascii="宋体" w:hAnsi="宋体" w:eastAsia="宋体" w:cs="宋体"/>
                <w:snapToGrid w:val="0"/>
                <w:color w:val="000000"/>
                <w:sz w:val="24"/>
                <w:szCs w:val="24"/>
                <w:highlight w:val="none"/>
              </w:rPr>
              <w:t>得</w:t>
            </w:r>
            <w:r>
              <w:rPr>
                <w:rFonts w:hint="eastAsia" w:ascii="宋体" w:hAnsi="宋体" w:cs="宋体"/>
                <w:snapToGrid w:val="0"/>
                <w:color w:val="000000"/>
                <w:sz w:val="24"/>
                <w:szCs w:val="24"/>
                <w:highlight w:val="none"/>
                <w:lang w:val="en-US" w:eastAsia="zh-CN"/>
              </w:rPr>
              <w:t>9</w:t>
            </w:r>
            <w:r>
              <w:rPr>
                <w:rFonts w:hint="eastAsia" w:ascii="宋体" w:hAnsi="宋体" w:eastAsia="宋体" w:cs="宋体"/>
                <w:snapToGrid w:val="0"/>
                <w:color w:val="000000"/>
                <w:sz w:val="24"/>
                <w:szCs w:val="24"/>
                <w:highlight w:val="none"/>
              </w:rPr>
              <w:t>分，每有一项内容缺失的扣</w:t>
            </w:r>
            <w:r>
              <w:rPr>
                <w:rFonts w:hint="eastAsia" w:ascii="宋体" w:hAnsi="宋体" w:cs="宋体"/>
                <w:snapToGrid w:val="0"/>
                <w:color w:val="000000"/>
                <w:sz w:val="24"/>
                <w:szCs w:val="24"/>
                <w:highlight w:val="none"/>
                <w:lang w:val="en-US" w:eastAsia="zh-CN"/>
              </w:rPr>
              <w:t>3</w:t>
            </w:r>
            <w:r>
              <w:rPr>
                <w:rFonts w:hint="eastAsia" w:ascii="宋体" w:hAnsi="宋体" w:eastAsia="宋体" w:cs="宋体"/>
                <w:snapToGrid w:val="0"/>
                <w:color w:val="000000"/>
                <w:sz w:val="24"/>
                <w:szCs w:val="24"/>
                <w:highlight w:val="none"/>
              </w:rPr>
              <w:t>分;每有一项内容存在缺陷或不满足要求的扣1</w:t>
            </w:r>
            <w:r>
              <w:rPr>
                <w:rFonts w:hint="eastAsia" w:ascii="宋体" w:hAnsi="宋体" w:cs="宋体"/>
                <w:snapToGrid w:val="0"/>
                <w:color w:val="000000"/>
                <w:sz w:val="24"/>
                <w:szCs w:val="24"/>
                <w:highlight w:val="none"/>
                <w:lang w:val="en-US" w:eastAsia="zh-CN"/>
              </w:rPr>
              <w:t>.5</w:t>
            </w:r>
            <w:r>
              <w:rPr>
                <w:rFonts w:hint="eastAsia" w:ascii="宋体" w:hAnsi="宋体" w:eastAsia="宋体" w:cs="宋体"/>
                <w:snapToGrid w:val="0"/>
                <w:color w:val="000000"/>
                <w:sz w:val="24"/>
                <w:szCs w:val="24"/>
                <w:highlight w:val="none"/>
              </w:rPr>
              <w:t>分，扣完为止。</w:t>
            </w:r>
          </w:p>
          <w:p w14:paraId="61118594">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b/>
                <w:bCs/>
                <w:snapToGrid w:val="0"/>
                <w:color w:val="000000"/>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441" w:type="pct"/>
            <w:tcBorders>
              <w:tl2br w:val="nil"/>
              <w:tr2bl w:val="nil"/>
            </w:tcBorders>
            <w:noWrap/>
            <w:vAlign w:val="center"/>
          </w:tcPr>
          <w:p w14:paraId="257EF980">
            <w:pPr>
              <w:widowControl/>
              <w:kinsoku w:val="0"/>
              <w:autoSpaceDE w:val="0"/>
              <w:autoSpaceDN w:val="0"/>
              <w:adjustRightInd w:val="0"/>
              <w:snapToGrid w:val="0"/>
              <w:spacing w:line="400" w:lineRule="exact"/>
              <w:jc w:val="center"/>
              <w:textAlignment w:val="baseline"/>
              <w:rPr>
                <w:rFonts w:hint="default" w:ascii="宋体" w:hAnsi="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9</w:t>
            </w:r>
          </w:p>
        </w:tc>
      </w:tr>
      <w:tr w14:paraId="4560A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4712FC6E">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44D6E2C2">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zh-CN"/>
              </w:rPr>
            </w:pPr>
            <w:r>
              <w:rPr>
                <w:rFonts w:hint="eastAsia" w:ascii="宋体" w:hAnsi="宋体" w:eastAsia="宋体" w:cs="宋体"/>
                <w:snapToGrid w:val="0"/>
                <w:color w:val="000000"/>
                <w:sz w:val="24"/>
                <w:szCs w:val="24"/>
                <w:highlight w:val="none"/>
              </w:rPr>
              <w:t>2.</w:t>
            </w:r>
            <w:r>
              <w:rPr>
                <w:rFonts w:hint="eastAsia" w:ascii="宋体" w:hAnsi="宋体" w:cs="宋体"/>
                <w:snapToGrid w:val="0"/>
                <w:color w:val="000000"/>
                <w:sz w:val="24"/>
                <w:szCs w:val="24"/>
                <w:highlight w:val="none"/>
                <w:lang w:val="en-US" w:eastAsia="zh-CN"/>
              </w:rPr>
              <w:t>5</w:t>
            </w:r>
          </w:p>
        </w:tc>
        <w:tc>
          <w:tcPr>
            <w:tcW w:w="577" w:type="pct"/>
            <w:tcBorders>
              <w:tl2br w:val="nil"/>
              <w:tr2bl w:val="nil"/>
            </w:tcBorders>
            <w:vAlign w:val="center"/>
          </w:tcPr>
          <w:p w14:paraId="691C63FF">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z w:val="24"/>
                <w:highlight w:val="none"/>
              </w:rPr>
              <w:t>施工组织设计</w:t>
            </w:r>
          </w:p>
        </w:tc>
        <w:tc>
          <w:tcPr>
            <w:tcW w:w="2907" w:type="pct"/>
            <w:tcBorders>
              <w:tl2br w:val="nil"/>
              <w:tr2bl w:val="nil"/>
            </w:tcBorders>
            <w:vAlign w:val="center"/>
          </w:tcPr>
          <w:p w14:paraId="3717AF04">
            <w:pPr>
              <w:widowControl/>
              <w:kinsoku w:val="0"/>
              <w:autoSpaceDE w:val="0"/>
              <w:autoSpaceDN w:val="0"/>
              <w:adjustRightInd w:val="0"/>
              <w:snapToGrid w:val="0"/>
              <w:spacing w:line="400" w:lineRule="exact"/>
              <w:jc w:val="left"/>
              <w:textAlignment w:val="baseline"/>
              <w:rPr>
                <w:rFonts w:hint="eastAsia" w:ascii="宋体" w:hAnsi="宋体" w:eastAsia="宋体" w:cs="宋体"/>
                <w:color w:val="000000"/>
                <w:sz w:val="24"/>
                <w:highlight w:val="none"/>
              </w:rPr>
            </w:pPr>
            <w:r>
              <w:rPr>
                <w:rFonts w:hint="eastAsia" w:ascii="宋体" w:hAnsi="宋体" w:eastAsia="Arial" w:cs="宋体"/>
                <w:sz w:val="24"/>
                <w:highlight w:val="none"/>
              </w:rPr>
              <w:t>投标人针对本项目</w:t>
            </w:r>
            <w:r>
              <w:rPr>
                <w:rFonts w:hint="eastAsia" w:ascii="宋体" w:hAnsi="宋体" w:eastAsia="宋体" w:cs="宋体"/>
                <w:color w:val="000000"/>
                <w:sz w:val="24"/>
                <w:highlight w:val="none"/>
              </w:rPr>
              <w:t>提供施工组织设计方案，包括①工作计划进度、②部署、联调综合能力、③项目实施质量控制、④项目实施的风险及应对措施，</w:t>
            </w:r>
            <w:r>
              <w:rPr>
                <w:rFonts w:hint="eastAsia" w:ascii="宋体" w:hAnsi="宋体" w:eastAsia="Arial" w:cs="宋体"/>
                <w:sz w:val="24"/>
                <w:highlight w:val="none"/>
              </w:rPr>
              <w:t>方案内容描述全面合理符合采购需求的</w:t>
            </w:r>
            <w:r>
              <w:rPr>
                <w:rFonts w:hint="eastAsia" w:ascii="宋体" w:hAnsi="宋体" w:eastAsia="宋体" w:cs="宋体"/>
                <w:color w:val="000000"/>
                <w:sz w:val="24"/>
                <w:highlight w:val="none"/>
              </w:rPr>
              <w:t>得</w:t>
            </w:r>
            <w:r>
              <w:rPr>
                <w:rFonts w:hint="eastAsia" w:ascii="宋体" w:hAnsi="宋体" w:cs="宋体"/>
                <w:color w:val="000000"/>
                <w:sz w:val="24"/>
                <w:highlight w:val="none"/>
                <w:lang w:val="en-US" w:eastAsia="zh-CN"/>
              </w:rPr>
              <w:t>12</w:t>
            </w:r>
            <w:r>
              <w:rPr>
                <w:rFonts w:hint="eastAsia" w:ascii="宋体" w:hAnsi="宋体" w:eastAsia="宋体" w:cs="宋体"/>
                <w:color w:val="000000"/>
                <w:sz w:val="24"/>
                <w:highlight w:val="none"/>
              </w:rPr>
              <w:t>分，每有一项内容缺失的扣</w:t>
            </w:r>
            <w:r>
              <w:rPr>
                <w:rFonts w:hint="eastAsia" w:ascii="宋体" w:hAnsi="宋体" w:cs="宋体"/>
                <w:color w:val="000000"/>
                <w:sz w:val="24"/>
                <w:highlight w:val="none"/>
                <w:lang w:val="en-US" w:eastAsia="zh-CN"/>
              </w:rPr>
              <w:t>3</w:t>
            </w:r>
            <w:r>
              <w:rPr>
                <w:rFonts w:hint="eastAsia" w:ascii="宋体" w:hAnsi="宋体" w:eastAsia="宋体" w:cs="宋体"/>
                <w:color w:val="000000"/>
                <w:sz w:val="24"/>
                <w:highlight w:val="none"/>
              </w:rPr>
              <w:t>分；每有一项内容存在缺陷或不满足要求的扣</w:t>
            </w:r>
            <w:r>
              <w:rPr>
                <w:rFonts w:hint="eastAsia" w:ascii="宋体" w:hAnsi="宋体" w:cs="宋体"/>
                <w:color w:val="000000"/>
                <w:sz w:val="24"/>
                <w:highlight w:val="none"/>
                <w:lang w:val="en-US" w:eastAsia="zh-CN"/>
              </w:rPr>
              <w:t>1.5</w:t>
            </w:r>
            <w:r>
              <w:rPr>
                <w:rFonts w:hint="eastAsia" w:ascii="宋体" w:hAnsi="宋体" w:eastAsia="宋体" w:cs="宋体"/>
                <w:color w:val="000000"/>
                <w:sz w:val="24"/>
                <w:highlight w:val="none"/>
              </w:rPr>
              <w:t>分，扣完为止。</w:t>
            </w:r>
          </w:p>
          <w:p w14:paraId="3F76837D">
            <w:pPr>
              <w:widowControl/>
              <w:kinsoku w:val="0"/>
              <w:autoSpaceDE w:val="0"/>
              <w:autoSpaceDN w:val="0"/>
              <w:adjustRightInd w:val="0"/>
              <w:snapToGrid w:val="0"/>
              <w:spacing w:line="400" w:lineRule="exact"/>
              <w:jc w:val="left"/>
              <w:textAlignment w:val="baseline"/>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441" w:type="pct"/>
            <w:tcBorders>
              <w:tl2br w:val="nil"/>
              <w:tr2bl w:val="nil"/>
            </w:tcBorders>
            <w:noWrap/>
            <w:vAlign w:val="center"/>
          </w:tcPr>
          <w:p w14:paraId="3E415426">
            <w:pPr>
              <w:widowControl/>
              <w:kinsoku w:val="0"/>
              <w:autoSpaceDE w:val="0"/>
              <w:autoSpaceDN w:val="0"/>
              <w:adjustRightInd w:val="0"/>
              <w:snapToGrid w:val="0"/>
              <w:spacing w:line="400" w:lineRule="exact"/>
              <w:jc w:val="center"/>
              <w:textAlignment w:val="baseline"/>
              <w:rPr>
                <w:rFonts w:hint="default" w:ascii="宋体" w:hAnsi="宋体" w:eastAsia="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12</w:t>
            </w:r>
          </w:p>
        </w:tc>
      </w:tr>
      <w:tr w14:paraId="20068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020E9FCD">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182BDBB3">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zh-CN"/>
              </w:rPr>
            </w:pPr>
            <w:r>
              <w:rPr>
                <w:rFonts w:hint="eastAsia" w:ascii="宋体" w:hAnsi="宋体" w:eastAsia="宋体" w:cs="宋体"/>
                <w:snapToGrid w:val="0"/>
                <w:color w:val="000000"/>
                <w:sz w:val="24"/>
                <w:szCs w:val="24"/>
                <w:highlight w:val="none"/>
                <w:lang w:eastAsia="en-US"/>
              </w:rPr>
              <w:t>2.</w:t>
            </w:r>
            <w:r>
              <w:rPr>
                <w:rFonts w:hint="eastAsia" w:ascii="宋体" w:hAnsi="宋体" w:cs="宋体"/>
                <w:snapToGrid w:val="0"/>
                <w:color w:val="000000"/>
                <w:sz w:val="24"/>
                <w:szCs w:val="24"/>
                <w:highlight w:val="none"/>
                <w:lang w:val="en-US" w:eastAsia="zh-CN"/>
              </w:rPr>
              <w:t>6</w:t>
            </w:r>
          </w:p>
        </w:tc>
        <w:tc>
          <w:tcPr>
            <w:tcW w:w="577" w:type="pct"/>
            <w:tcBorders>
              <w:tl2br w:val="nil"/>
              <w:tr2bl w:val="nil"/>
            </w:tcBorders>
            <w:vAlign w:val="center"/>
          </w:tcPr>
          <w:p w14:paraId="01940155">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售后服务方案及培训方案</w:t>
            </w:r>
          </w:p>
        </w:tc>
        <w:tc>
          <w:tcPr>
            <w:tcW w:w="2907" w:type="pct"/>
            <w:tcBorders>
              <w:tl2br w:val="nil"/>
              <w:tr2bl w:val="nil"/>
            </w:tcBorders>
            <w:vAlign w:val="center"/>
          </w:tcPr>
          <w:p w14:paraId="2D987135">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Arial" w:cs="宋体"/>
                <w:sz w:val="24"/>
                <w:highlight w:val="none"/>
              </w:rPr>
              <w:t>投标人针对本项目提供</w:t>
            </w:r>
            <w:r>
              <w:rPr>
                <w:rFonts w:hint="eastAsia" w:ascii="宋体" w:hAnsi="宋体" w:eastAsia="宋体" w:cs="宋体"/>
                <w:snapToGrid w:val="0"/>
                <w:color w:val="000000"/>
                <w:sz w:val="24"/>
                <w:szCs w:val="24"/>
                <w:highlight w:val="none"/>
              </w:rPr>
              <w:t>售后服务方案及培训方案，包括①售后服务内容及售后服务响应时间、②有完整的机构信息、人力保障体系及维护技术人员、③</w:t>
            </w:r>
            <w:r>
              <w:rPr>
                <w:rFonts w:hint="eastAsia" w:ascii="宋体" w:hAnsi="宋体" w:cs="宋体"/>
                <w:snapToGrid w:val="0"/>
                <w:color w:val="000000"/>
                <w:sz w:val="24"/>
                <w:highlight w:val="none"/>
              </w:rPr>
              <w:t>安全与保密</w:t>
            </w:r>
            <w:r>
              <w:rPr>
                <w:rFonts w:hint="eastAsia" w:ascii="宋体" w:hAnsi="宋体" w:cs="宋体"/>
                <w:snapToGrid w:val="0"/>
                <w:color w:val="000000"/>
                <w:sz w:val="24"/>
                <w:highlight w:val="none"/>
                <w:lang w:val="en-US" w:eastAsia="zh-CN"/>
              </w:rPr>
              <w:t>服务</w:t>
            </w:r>
            <w:r>
              <w:rPr>
                <w:rFonts w:hint="eastAsia" w:ascii="宋体" w:hAnsi="宋体" w:cs="宋体"/>
                <w:snapToGrid w:val="0"/>
                <w:color w:val="000000"/>
                <w:sz w:val="24"/>
                <w:szCs w:val="24"/>
                <w:highlight w:val="none"/>
                <w:lang w:val="en-US" w:eastAsia="zh-CN"/>
              </w:rPr>
              <w:t>、</w:t>
            </w:r>
            <w:r>
              <w:rPr>
                <w:rFonts w:hint="eastAsia" w:ascii="宋体" w:hAnsi="宋体" w:eastAsia="宋体" w:cs="宋体"/>
                <w:snapToGrid w:val="0"/>
                <w:color w:val="000000"/>
                <w:sz w:val="24"/>
                <w:szCs w:val="24"/>
                <w:highlight w:val="none"/>
              </w:rPr>
              <w:t>④服务流程保障、</w:t>
            </w:r>
            <w:r>
              <w:rPr>
                <w:rFonts w:hint="eastAsia" w:ascii="宋体" w:hAnsi="宋体" w:eastAsia="宋体" w:cs="宋体"/>
                <w:snapToGrid w:val="0"/>
                <w:color w:val="000000"/>
                <w:sz w:val="24"/>
                <w:szCs w:val="24"/>
                <w:highlight w:val="none"/>
                <w:lang w:eastAsia="zh-CN"/>
              </w:rPr>
              <w:t>⑤</w:t>
            </w:r>
            <w:r>
              <w:rPr>
                <w:rFonts w:hint="eastAsia" w:ascii="宋体" w:hAnsi="宋体" w:eastAsia="宋体" w:cs="宋体"/>
                <w:snapToGrid w:val="0"/>
                <w:color w:val="000000"/>
                <w:sz w:val="24"/>
                <w:szCs w:val="24"/>
                <w:highlight w:val="none"/>
              </w:rPr>
              <w:t>培训方案。方案内容描述全面合理符合采购需求的得</w:t>
            </w:r>
            <w:r>
              <w:rPr>
                <w:rFonts w:hint="eastAsia" w:ascii="宋体" w:hAnsi="宋体" w:cs="宋体"/>
                <w:snapToGrid w:val="0"/>
                <w:color w:val="000000"/>
                <w:sz w:val="24"/>
                <w:szCs w:val="24"/>
                <w:highlight w:val="none"/>
                <w:lang w:val="en-US" w:eastAsia="zh-CN"/>
              </w:rPr>
              <w:t>10</w:t>
            </w:r>
            <w:r>
              <w:rPr>
                <w:rFonts w:hint="eastAsia" w:ascii="宋体" w:hAnsi="宋体" w:eastAsia="宋体" w:cs="宋体"/>
                <w:snapToGrid w:val="0"/>
                <w:color w:val="000000"/>
                <w:sz w:val="24"/>
                <w:szCs w:val="24"/>
                <w:highlight w:val="none"/>
              </w:rPr>
              <w:t>分，每有一项内容缺失的扣</w:t>
            </w:r>
            <w:r>
              <w:rPr>
                <w:rFonts w:hint="eastAsia" w:ascii="宋体" w:hAnsi="宋体" w:cs="宋体"/>
                <w:snapToGrid w:val="0"/>
                <w:color w:val="000000"/>
                <w:sz w:val="24"/>
                <w:szCs w:val="24"/>
                <w:highlight w:val="none"/>
                <w:lang w:val="en-US" w:eastAsia="zh-CN"/>
              </w:rPr>
              <w:t>2</w:t>
            </w:r>
            <w:r>
              <w:rPr>
                <w:rFonts w:hint="eastAsia" w:ascii="宋体" w:hAnsi="宋体" w:eastAsia="宋体" w:cs="宋体"/>
                <w:snapToGrid w:val="0"/>
                <w:color w:val="000000"/>
                <w:sz w:val="24"/>
                <w:szCs w:val="24"/>
                <w:highlight w:val="none"/>
              </w:rPr>
              <w:t>分；每有一项内容存在缺陷或不满足要求的扣</w:t>
            </w:r>
            <w:r>
              <w:rPr>
                <w:rFonts w:hint="eastAsia" w:ascii="宋体" w:hAnsi="宋体" w:cs="宋体"/>
                <w:snapToGrid w:val="0"/>
                <w:color w:val="000000"/>
                <w:sz w:val="24"/>
                <w:szCs w:val="24"/>
                <w:highlight w:val="none"/>
                <w:lang w:val="en-US" w:eastAsia="zh-CN"/>
              </w:rPr>
              <w:t>1</w:t>
            </w:r>
            <w:r>
              <w:rPr>
                <w:rFonts w:hint="eastAsia" w:ascii="宋体" w:hAnsi="宋体" w:eastAsia="宋体" w:cs="宋体"/>
                <w:snapToGrid w:val="0"/>
                <w:color w:val="000000"/>
                <w:sz w:val="24"/>
                <w:szCs w:val="24"/>
                <w:highlight w:val="none"/>
              </w:rPr>
              <w:t>分，扣完为止。</w:t>
            </w:r>
          </w:p>
          <w:p w14:paraId="5039D5F0">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b/>
                <w:bCs/>
                <w:snapToGrid w:val="0"/>
                <w:color w:val="000000"/>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441" w:type="pct"/>
            <w:tcBorders>
              <w:tl2br w:val="nil"/>
              <w:tr2bl w:val="nil"/>
            </w:tcBorders>
            <w:noWrap/>
            <w:vAlign w:val="center"/>
          </w:tcPr>
          <w:p w14:paraId="1131A89A">
            <w:pPr>
              <w:widowControl/>
              <w:kinsoku w:val="0"/>
              <w:autoSpaceDE w:val="0"/>
              <w:autoSpaceDN w:val="0"/>
              <w:adjustRightInd w:val="0"/>
              <w:snapToGrid w:val="0"/>
              <w:spacing w:line="400" w:lineRule="exact"/>
              <w:jc w:val="center"/>
              <w:textAlignment w:val="baseline"/>
              <w:rPr>
                <w:rFonts w:hint="default" w:ascii="宋体" w:hAnsi="宋体" w:eastAsia="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10</w:t>
            </w:r>
          </w:p>
        </w:tc>
      </w:tr>
      <w:tr w14:paraId="32754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4AA4F877">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334" w:type="pct"/>
            <w:gridSpan w:val="4"/>
            <w:tcBorders>
              <w:tl2br w:val="nil"/>
              <w:tr2bl w:val="nil"/>
            </w:tcBorders>
            <w:noWrap/>
            <w:vAlign w:val="center"/>
          </w:tcPr>
          <w:p w14:paraId="7ED16671">
            <w:pPr>
              <w:spacing w:line="400" w:lineRule="exact"/>
              <w:jc w:val="left"/>
              <w:rPr>
                <w:rFonts w:hint="eastAsia" w:ascii="宋体" w:hAnsi="宋体"/>
                <w:sz w:val="24"/>
                <w:highlight w:val="none"/>
              </w:rPr>
            </w:pPr>
            <w:r>
              <w:rPr>
                <w:rFonts w:hint="eastAsia" w:ascii="宋体" w:hAnsi="宋体"/>
                <w:sz w:val="24"/>
                <w:highlight w:val="none"/>
              </w:rPr>
              <w:t>投标人对本项目涉及的相关功能</w:t>
            </w:r>
            <w:r>
              <w:rPr>
                <w:rFonts w:hint="eastAsia" w:ascii="宋体" w:hAnsi="宋体"/>
                <w:sz w:val="24"/>
                <w:highlight w:val="none"/>
                <w:lang w:eastAsia="zh-CN"/>
              </w:rPr>
              <w:t>（以下</w:t>
            </w:r>
            <w:r>
              <w:rPr>
                <w:rFonts w:hint="eastAsia" w:ascii="宋体" w:hAnsi="宋体"/>
                <w:sz w:val="24"/>
                <w:highlight w:val="none"/>
                <w:lang w:val="en-US" w:eastAsia="zh-CN"/>
              </w:rPr>
              <w:t>2.7--2.11项</w:t>
            </w:r>
            <w:r>
              <w:rPr>
                <w:rFonts w:hint="eastAsia" w:ascii="宋体" w:hAnsi="宋体"/>
                <w:sz w:val="24"/>
                <w:highlight w:val="none"/>
                <w:lang w:eastAsia="zh-CN"/>
              </w:rPr>
              <w:t>）</w:t>
            </w:r>
            <w:r>
              <w:rPr>
                <w:rFonts w:hint="eastAsia" w:ascii="宋体" w:hAnsi="宋体"/>
                <w:sz w:val="24"/>
                <w:highlight w:val="none"/>
              </w:rPr>
              <w:t>提供目前正在运行的真实环境或模拟环境的录屏演示（可配语音讲解，不得使用PPT形式、截图形式等其他形式演示），于本项目开标时间前将视频文件分段以压缩包文件格式（zip格式）上传提交，文件上传方式见《操作手册》规定，上传的演示视频将作为投标文件的组成部分。</w:t>
            </w:r>
          </w:p>
          <w:p w14:paraId="664C7360">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录制时长：不得超过10分钟</w:t>
            </w:r>
          </w:p>
          <w:p w14:paraId="0A481AD6">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演示视频格式：mp4、avi</w:t>
            </w:r>
          </w:p>
          <w:p w14:paraId="57AFE382">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演示视频大小：单个视频压缩包大小不得超过50M,整体不得超过300M</w:t>
            </w:r>
          </w:p>
          <w:p w14:paraId="4F9C0FFB">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未按要求提交的本项不得分。</w:t>
            </w:r>
          </w:p>
        </w:tc>
      </w:tr>
      <w:tr w14:paraId="37834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3CCDFACC">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0874013D">
            <w:pPr>
              <w:widowControl/>
              <w:kinsoku w:val="0"/>
              <w:autoSpaceDE w:val="0"/>
              <w:autoSpaceDN w:val="0"/>
              <w:adjustRightInd w:val="0"/>
              <w:snapToGrid w:val="0"/>
              <w:spacing w:line="400" w:lineRule="exact"/>
              <w:jc w:val="center"/>
              <w:textAlignment w:val="baseline"/>
              <w:rPr>
                <w:rFonts w:hint="default" w:ascii="宋体" w:hAnsi="宋体" w:eastAsia="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2.7</w:t>
            </w:r>
          </w:p>
        </w:tc>
        <w:tc>
          <w:tcPr>
            <w:tcW w:w="577" w:type="pct"/>
            <w:tcBorders>
              <w:tl2br w:val="nil"/>
              <w:tr2bl w:val="nil"/>
            </w:tcBorders>
            <w:vAlign w:val="center"/>
          </w:tcPr>
          <w:p w14:paraId="1608E48A">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泵站运行数据大屏</w:t>
            </w:r>
          </w:p>
        </w:tc>
        <w:tc>
          <w:tcPr>
            <w:tcW w:w="2907" w:type="pct"/>
            <w:tcBorders>
              <w:tl2br w:val="nil"/>
              <w:tr2bl w:val="nil"/>
            </w:tcBorders>
            <w:vAlign w:val="center"/>
          </w:tcPr>
          <w:p w14:paraId="2F1C88A9">
            <w:pPr>
              <w:widowControl/>
              <w:kinsoku w:val="0"/>
              <w:autoSpaceDE w:val="0"/>
              <w:autoSpaceDN w:val="0"/>
              <w:adjustRightInd w:val="0"/>
              <w:snapToGrid w:val="0"/>
              <w:spacing w:line="400" w:lineRule="exact"/>
              <w:jc w:val="left"/>
              <w:textAlignment w:val="baseline"/>
              <w:rPr>
                <w:rFonts w:hint="eastAsia" w:ascii="宋体" w:hAnsi="宋体" w:eastAsia="宋体" w:cs="宋体"/>
                <w:b w:val="0"/>
                <w:bCs w:val="0"/>
                <w:snapToGrid w:val="0"/>
                <w:color w:val="000000"/>
                <w:sz w:val="24"/>
                <w:szCs w:val="24"/>
                <w:highlight w:val="none"/>
              </w:rPr>
            </w:pPr>
            <w:r>
              <w:rPr>
                <w:rFonts w:hint="eastAsia" w:ascii="宋体" w:hAnsi="宋体" w:eastAsia="宋体" w:cs="宋体"/>
                <w:b w:val="0"/>
                <w:bCs w:val="0"/>
                <w:snapToGrid w:val="0"/>
                <w:color w:val="000000"/>
                <w:sz w:val="24"/>
                <w:szCs w:val="24"/>
                <w:highlight w:val="none"/>
              </w:rPr>
              <w:t>实时监测全路网泵站运行状态，支持对于泵站运行状态管理，可以在大屏查看相关指标。包括但不限于以下状态指标：①泵机及泵房状态、故障报警、实时报警信息展示②今日昨日数据统计（泵机开启次数、运行总时长、排水总流量等）；</w:t>
            </w:r>
          </w:p>
          <w:p w14:paraId="1C9C3ED6">
            <w:pPr>
              <w:widowControl/>
              <w:kinsoku w:val="0"/>
              <w:autoSpaceDE w:val="0"/>
              <w:autoSpaceDN w:val="0"/>
              <w:adjustRightInd w:val="0"/>
              <w:snapToGrid w:val="0"/>
              <w:spacing w:line="400" w:lineRule="exact"/>
              <w:jc w:val="left"/>
              <w:textAlignment w:val="baseline"/>
              <w:rPr>
                <w:rFonts w:hint="eastAsia" w:ascii="宋体" w:hAnsi="宋体" w:eastAsia="宋体" w:cs="宋体"/>
                <w:b/>
                <w:bCs/>
                <w:snapToGrid w:val="0"/>
                <w:color w:val="000000"/>
                <w:sz w:val="24"/>
                <w:szCs w:val="24"/>
                <w:highlight w:val="none"/>
              </w:rPr>
            </w:pPr>
            <w:r>
              <w:rPr>
                <w:rFonts w:hint="eastAsia" w:ascii="宋体" w:hAnsi="宋体" w:eastAsia="宋体" w:cs="宋体"/>
                <w:b/>
                <w:bCs/>
                <w:snapToGrid w:val="0"/>
                <w:color w:val="000000"/>
                <w:sz w:val="24"/>
                <w:szCs w:val="24"/>
                <w:highlight w:val="none"/>
              </w:rPr>
              <w:t>上述系统软件功能全部满足得</w:t>
            </w:r>
            <w:r>
              <w:rPr>
                <w:rFonts w:hint="eastAsia" w:ascii="宋体" w:hAnsi="宋体" w:cs="宋体"/>
                <w:b/>
                <w:bCs/>
                <w:snapToGrid w:val="0"/>
                <w:color w:val="000000"/>
                <w:sz w:val="24"/>
                <w:szCs w:val="24"/>
                <w:highlight w:val="none"/>
                <w:lang w:val="en-US" w:eastAsia="zh-CN"/>
              </w:rPr>
              <w:t>2</w:t>
            </w:r>
            <w:r>
              <w:rPr>
                <w:rFonts w:hint="eastAsia" w:ascii="宋体" w:hAnsi="宋体" w:eastAsia="宋体" w:cs="宋体"/>
                <w:b/>
                <w:bCs/>
                <w:snapToGrid w:val="0"/>
                <w:color w:val="000000"/>
                <w:sz w:val="24"/>
                <w:szCs w:val="24"/>
                <w:highlight w:val="none"/>
              </w:rPr>
              <w:t>分,缺一项或单项不完整扣</w:t>
            </w:r>
            <w:r>
              <w:rPr>
                <w:rFonts w:hint="eastAsia" w:ascii="宋体" w:hAnsi="宋体" w:cs="宋体"/>
                <w:b/>
                <w:bCs/>
                <w:snapToGrid w:val="0"/>
                <w:color w:val="000000"/>
                <w:sz w:val="24"/>
                <w:szCs w:val="24"/>
                <w:highlight w:val="none"/>
                <w:lang w:val="en-US" w:eastAsia="zh-CN"/>
              </w:rPr>
              <w:t>1</w:t>
            </w:r>
            <w:r>
              <w:rPr>
                <w:rFonts w:hint="eastAsia" w:ascii="宋体" w:hAnsi="宋体" w:eastAsia="宋体" w:cs="宋体"/>
                <w:b/>
                <w:bCs/>
                <w:snapToGrid w:val="0"/>
                <w:color w:val="000000"/>
                <w:sz w:val="24"/>
                <w:szCs w:val="24"/>
                <w:highlight w:val="none"/>
              </w:rPr>
              <w:t>分</w:t>
            </w:r>
            <w:r>
              <w:rPr>
                <w:rFonts w:hint="eastAsia"/>
                <w:highlight w:val="none"/>
                <w:lang w:eastAsia="zh-CN"/>
              </w:rPr>
              <w:t>，</w:t>
            </w:r>
            <w:r>
              <w:rPr>
                <w:rFonts w:hint="eastAsia" w:ascii="宋体" w:hAnsi="宋体" w:eastAsia="宋体" w:cs="宋体"/>
                <w:b/>
                <w:bCs/>
                <w:snapToGrid w:val="0"/>
                <w:color w:val="000000"/>
                <w:sz w:val="24"/>
                <w:szCs w:val="24"/>
                <w:highlight w:val="none"/>
              </w:rPr>
              <w:t>扣完为止。</w:t>
            </w:r>
          </w:p>
        </w:tc>
        <w:tc>
          <w:tcPr>
            <w:tcW w:w="441" w:type="pct"/>
            <w:tcBorders>
              <w:tl2br w:val="nil"/>
              <w:tr2bl w:val="nil"/>
            </w:tcBorders>
            <w:noWrap/>
            <w:vAlign w:val="center"/>
          </w:tcPr>
          <w:p w14:paraId="32A4FF59">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2</w:t>
            </w:r>
          </w:p>
        </w:tc>
      </w:tr>
      <w:tr w14:paraId="0AE32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0B0F775F">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5E076F19">
            <w:pPr>
              <w:widowControl/>
              <w:kinsoku w:val="0"/>
              <w:autoSpaceDE w:val="0"/>
              <w:autoSpaceDN w:val="0"/>
              <w:adjustRightInd w:val="0"/>
              <w:snapToGrid w:val="0"/>
              <w:spacing w:line="400" w:lineRule="exact"/>
              <w:jc w:val="center"/>
              <w:textAlignment w:val="baseline"/>
              <w:rPr>
                <w:rFonts w:hint="default" w:ascii="宋体" w:hAnsi="宋体" w:eastAsia="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2.8</w:t>
            </w:r>
          </w:p>
        </w:tc>
        <w:tc>
          <w:tcPr>
            <w:tcW w:w="577" w:type="pct"/>
            <w:tcBorders>
              <w:tl2br w:val="nil"/>
              <w:tr2bl w:val="nil"/>
            </w:tcBorders>
            <w:vAlign w:val="center"/>
          </w:tcPr>
          <w:p w14:paraId="4F0EE99D">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三维可视化展示</w:t>
            </w:r>
          </w:p>
        </w:tc>
        <w:tc>
          <w:tcPr>
            <w:tcW w:w="2907" w:type="pct"/>
            <w:tcBorders>
              <w:tl2br w:val="nil"/>
              <w:tr2bl w:val="nil"/>
            </w:tcBorders>
            <w:vAlign w:val="center"/>
          </w:tcPr>
          <w:p w14:paraId="7EFBCF05">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支持在地图上查看泵站液位、泵房及泵机运行状态，点击泵站图标可跳转至三维界面，查看泵机启停、液位等详细状态信息。包括但不限于：①泵站基础信息地图展示；②泵站三维可视化（含泵机、液位信息）。</w:t>
            </w:r>
          </w:p>
          <w:p w14:paraId="5D167509">
            <w:pPr>
              <w:widowControl/>
              <w:kinsoku w:val="0"/>
              <w:autoSpaceDE w:val="0"/>
              <w:autoSpaceDN w:val="0"/>
              <w:adjustRightInd w:val="0"/>
              <w:snapToGrid w:val="0"/>
              <w:spacing w:line="400" w:lineRule="exact"/>
              <w:jc w:val="left"/>
              <w:textAlignment w:val="baseline"/>
              <w:rPr>
                <w:rFonts w:hint="eastAsia" w:ascii="宋体" w:hAnsi="宋体" w:eastAsia="宋体" w:cs="宋体"/>
                <w:b/>
                <w:bCs/>
                <w:snapToGrid w:val="0"/>
                <w:color w:val="000000"/>
                <w:sz w:val="24"/>
                <w:szCs w:val="24"/>
                <w:highlight w:val="none"/>
              </w:rPr>
            </w:pPr>
            <w:r>
              <w:rPr>
                <w:rFonts w:hint="eastAsia" w:ascii="宋体" w:hAnsi="宋体" w:eastAsia="宋体" w:cs="宋体"/>
                <w:b/>
                <w:bCs/>
                <w:snapToGrid w:val="0"/>
                <w:color w:val="000000"/>
                <w:sz w:val="24"/>
                <w:szCs w:val="24"/>
                <w:highlight w:val="none"/>
              </w:rPr>
              <w:t>上述系统软件功能全部满足得</w:t>
            </w:r>
            <w:r>
              <w:rPr>
                <w:rFonts w:hint="eastAsia" w:ascii="宋体" w:hAnsi="宋体" w:cs="宋体"/>
                <w:b/>
                <w:bCs/>
                <w:snapToGrid w:val="0"/>
                <w:color w:val="000000"/>
                <w:sz w:val="24"/>
                <w:szCs w:val="24"/>
                <w:highlight w:val="none"/>
                <w:lang w:val="en-US" w:eastAsia="zh-CN"/>
              </w:rPr>
              <w:t>2</w:t>
            </w:r>
            <w:r>
              <w:rPr>
                <w:rFonts w:hint="eastAsia" w:ascii="宋体" w:hAnsi="宋体" w:eastAsia="宋体" w:cs="宋体"/>
                <w:b/>
                <w:bCs/>
                <w:snapToGrid w:val="0"/>
                <w:color w:val="000000"/>
                <w:sz w:val="24"/>
                <w:szCs w:val="24"/>
                <w:highlight w:val="none"/>
              </w:rPr>
              <w:t>分,缺一项或单项不完整扣</w:t>
            </w:r>
            <w:r>
              <w:rPr>
                <w:rFonts w:hint="eastAsia" w:ascii="宋体" w:hAnsi="宋体" w:cs="宋体"/>
                <w:b/>
                <w:bCs/>
                <w:snapToGrid w:val="0"/>
                <w:color w:val="000000"/>
                <w:sz w:val="24"/>
                <w:szCs w:val="24"/>
                <w:highlight w:val="none"/>
                <w:lang w:val="en-US" w:eastAsia="zh-CN"/>
              </w:rPr>
              <w:t>1</w:t>
            </w:r>
            <w:r>
              <w:rPr>
                <w:rFonts w:hint="eastAsia" w:ascii="宋体" w:hAnsi="宋体" w:eastAsia="宋体" w:cs="宋体"/>
                <w:b/>
                <w:bCs/>
                <w:snapToGrid w:val="0"/>
                <w:color w:val="000000"/>
                <w:sz w:val="24"/>
                <w:szCs w:val="24"/>
                <w:highlight w:val="none"/>
              </w:rPr>
              <w:t>分</w:t>
            </w:r>
            <w:r>
              <w:rPr>
                <w:rFonts w:hint="eastAsia"/>
                <w:highlight w:val="none"/>
                <w:lang w:eastAsia="zh-CN"/>
              </w:rPr>
              <w:t>，</w:t>
            </w:r>
            <w:r>
              <w:rPr>
                <w:rFonts w:hint="eastAsia" w:ascii="宋体" w:hAnsi="宋体" w:eastAsia="宋体" w:cs="宋体"/>
                <w:b/>
                <w:bCs/>
                <w:snapToGrid w:val="0"/>
                <w:color w:val="000000"/>
                <w:sz w:val="24"/>
                <w:szCs w:val="24"/>
                <w:highlight w:val="none"/>
              </w:rPr>
              <w:t>扣完为止。</w:t>
            </w:r>
          </w:p>
        </w:tc>
        <w:tc>
          <w:tcPr>
            <w:tcW w:w="441" w:type="pct"/>
            <w:tcBorders>
              <w:tl2br w:val="nil"/>
              <w:tr2bl w:val="nil"/>
            </w:tcBorders>
            <w:noWrap/>
            <w:vAlign w:val="center"/>
          </w:tcPr>
          <w:p w14:paraId="210BC0D8">
            <w:pPr>
              <w:widowControl/>
              <w:kinsoku w:val="0"/>
              <w:autoSpaceDE w:val="0"/>
              <w:autoSpaceDN w:val="0"/>
              <w:adjustRightInd w:val="0"/>
              <w:snapToGrid w:val="0"/>
              <w:spacing w:line="400" w:lineRule="exact"/>
              <w:jc w:val="center"/>
              <w:textAlignment w:val="baseline"/>
              <w:rPr>
                <w:rFonts w:hint="default" w:ascii="宋体" w:hAnsi="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2</w:t>
            </w:r>
          </w:p>
        </w:tc>
      </w:tr>
      <w:tr w14:paraId="06B5B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1DD0DAD2">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70AB95B7">
            <w:pPr>
              <w:widowControl/>
              <w:kinsoku w:val="0"/>
              <w:autoSpaceDE w:val="0"/>
              <w:autoSpaceDN w:val="0"/>
              <w:adjustRightInd w:val="0"/>
              <w:snapToGrid w:val="0"/>
              <w:spacing w:line="400" w:lineRule="exact"/>
              <w:jc w:val="center"/>
              <w:textAlignment w:val="baseline"/>
              <w:rPr>
                <w:rFonts w:hint="default" w:ascii="宋体" w:hAnsi="宋体" w:eastAsia="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2.9</w:t>
            </w:r>
          </w:p>
        </w:tc>
        <w:tc>
          <w:tcPr>
            <w:tcW w:w="577" w:type="pct"/>
            <w:tcBorders>
              <w:tl2br w:val="nil"/>
              <w:tr2bl w:val="nil"/>
            </w:tcBorders>
            <w:vAlign w:val="center"/>
          </w:tcPr>
          <w:p w14:paraId="1D0CD4A0">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液位信息</w:t>
            </w:r>
          </w:p>
        </w:tc>
        <w:tc>
          <w:tcPr>
            <w:tcW w:w="2907" w:type="pct"/>
            <w:tcBorders>
              <w:tl2br w:val="nil"/>
              <w:tr2bl w:val="nil"/>
            </w:tcBorders>
            <w:vAlign w:val="center"/>
          </w:tcPr>
          <w:p w14:paraId="556D965B">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支持在液位管理界面上查看泵房列表的展示，支持在地图上管理液位相关基础信息。包括但不限于以下功能：①泵房液位地图和列表展示②泵站液位详情展示(液位流量剖面图、近24小时液位过程线、液位变化速率曲线图、近24小时泵机启闭状态)</w:t>
            </w:r>
          </w:p>
          <w:p w14:paraId="53608CC8">
            <w:pPr>
              <w:widowControl/>
              <w:kinsoku w:val="0"/>
              <w:autoSpaceDE w:val="0"/>
              <w:autoSpaceDN w:val="0"/>
              <w:adjustRightInd w:val="0"/>
              <w:snapToGrid w:val="0"/>
              <w:spacing w:line="400" w:lineRule="exact"/>
              <w:jc w:val="left"/>
              <w:textAlignment w:val="baseline"/>
              <w:rPr>
                <w:rFonts w:hint="eastAsia" w:ascii="宋体" w:hAnsi="宋体" w:eastAsia="宋体" w:cs="宋体"/>
                <w:b/>
                <w:bCs/>
                <w:snapToGrid w:val="0"/>
                <w:color w:val="000000"/>
                <w:sz w:val="24"/>
                <w:szCs w:val="24"/>
                <w:highlight w:val="none"/>
              </w:rPr>
            </w:pPr>
            <w:r>
              <w:rPr>
                <w:rFonts w:hint="eastAsia" w:ascii="宋体" w:hAnsi="宋体" w:eastAsia="宋体" w:cs="宋体"/>
                <w:b/>
                <w:bCs/>
                <w:snapToGrid w:val="0"/>
                <w:color w:val="000000"/>
                <w:sz w:val="24"/>
                <w:szCs w:val="24"/>
                <w:highlight w:val="none"/>
              </w:rPr>
              <w:t>上述系统软件功能全部满足得</w:t>
            </w:r>
            <w:r>
              <w:rPr>
                <w:rFonts w:hint="eastAsia" w:ascii="宋体" w:hAnsi="宋体" w:cs="宋体"/>
                <w:b/>
                <w:bCs/>
                <w:snapToGrid w:val="0"/>
                <w:color w:val="000000"/>
                <w:sz w:val="24"/>
                <w:szCs w:val="24"/>
                <w:highlight w:val="none"/>
                <w:lang w:val="en-US" w:eastAsia="zh-CN"/>
              </w:rPr>
              <w:t>2</w:t>
            </w:r>
            <w:r>
              <w:rPr>
                <w:rFonts w:hint="eastAsia" w:ascii="宋体" w:hAnsi="宋体" w:eastAsia="宋体" w:cs="宋体"/>
                <w:b/>
                <w:bCs/>
                <w:snapToGrid w:val="0"/>
                <w:color w:val="000000"/>
                <w:sz w:val="24"/>
                <w:szCs w:val="24"/>
                <w:highlight w:val="none"/>
              </w:rPr>
              <w:t>分,缺一项或单项不完整扣</w:t>
            </w:r>
            <w:r>
              <w:rPr>
                <w:rFonts w:hint="eastAsia" w:ascii="宋体" w:hAnsi="宋体" w:cs="宋体"/>
                <w:b/>
                <w:bCs/>
                <w:snapToGrid w:val="0"/>
                <w:color w:val="000000"/>
                <w:sz w:val="24"/>
                <w:szCs w:val="24"/>
                <w:highlight w:val="none"/>
                <w:lang w:val="en-US" w:eastAsia="zh-CN"/>
              </w:rPr>
              <w:t>1</w:t>
            </w:r>
            <w:r>
              <w:rPr>
                <w:rFonts w:hint="eastAsia" w:ascii="宋体" w:hAnsi="宋体" w:eastAsia="宋体" w:cs="宋体"/>
                <w:b/>
                <w:bCs/>
                <w:snapToGrid w:val="0"/>
                <w:color w:val="000000"/>
                <w:sz w:val="24"/>
                <w:szCs w:val="24"/>
                <w:highlight w:val="none"/>
              </w:rPr>
              <w:t>分</w:t>
            </w:r>
            <w:r>
              <w:rPr>
                <w:rFonts w:hint="eastAsia"/>
                <w:highlight w:val="none"/>
                <w:lang w:eastAsia="zh-CN"/>
              </w:rPr>
              <w:t>，</w:t>
            </w:r>
            <w:r>
              <w:rPr>
                <w:rFonts w:hint="eastAsia" w:ascii="宋体" w:hAnsi="宋体" w:eastAsia="宋体" w:cs="宋体"/>
                <w:b/>
                <w:bCs/>
                <w:snapToGrid w:val="0"/>
                <w:color w:val="000000"/>
                <w:sz w:val="24"/>
                <w:szCs w:val="24"/>
                <w:highlight w:val="none"/>
              </w:rPr>
              <w:t>扣完为止。</w:t>
            </w:r>
          </w:p>
        </w:tc>
        <w:tc>
          <w:tcPr>
            <w:tcW w:w="441" w:type="pct"/>
            <w:tcBorders>
              <w:tl2br w:val="nil"/>
              <w:tr2bl w:val="nil"/>
            </w:tcBorders>
            <w:noWrap/>
            <w:vAlign w:val="center"/>
          </w:tcPr>
          <w:p w14:paraId="4AA8A18F">
            <w:pPr>
              <w:widowControl/>
              <w:kinsoku w:val="0"/>
              <w:autoSpaceDE w:val="0"/>
              <w:autoSpaceDN w:val="0"/>
              <w:adjustRightInd w:val="0"/>
              <w:snapToGrid w:val="0"/>
              <w:spacing w:line="400" w:lineRule="exact"/>
              <w:jc w:val="center"/>
              <w:textAlignment w:val="baseline"/>
              <w:rPr>
                <w:rFonts w:hint="default" w:ascii="宋体" w:hAnsi="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2</w:t>
            </w:r>
          </w:p>
        </w:tc>
      </w:tr>
      <w:tr w14:paraId="50DCD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43A87045">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1880006F">
            <w:pPr>
              <w:widowControl/>
              <w:kinsoku w:val="0"/>
              <w:autoSpaceDE w:val="0"/>
              <w:autoSpaceDN w:val="0"/>
              <w:adjustRightInd w:val="0"/>
              <w:snapToGrid w:val="0"/>
              <w:spacing w:line="400" w:lineRule="exact"/>
              <w:jc w:val="center"/>
              <w:textAlignment w:val="baseline"/>
              <w:rPr>
                <w:rFonts w:hint="default" w:ascii="宋体" w:hAnsi="宋体" w:eastAsia="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2.10</w:t>
            </w:r>
          </w:p>
        </w:tc>
        <w:tc>
          <w:tcPr>
            <w:tcW w:w="577" w:type="pct"/>
            <w:tcBorders>
              <w:tl2br w:val="nil"/>
              <w:tr2bl w:val="nil"/>
            </w:tcBorders>
            <w:vAlign w:val="center"/>
          </w:tcPr>
          <w:p w14:paraId="252785C5">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b w:val="0"/>
                <w:bCs w:val="0"/>
                <w:snapToGrid w:val="0"/>
                <w:color w:val="000000"/>
                <w:sz w:val="24"/>
                <w:szCs w:val="24"/>
                <w:highlight w:val="none"/>
              </w:rPr>
              <w:t>设备运行台账</w:t>
            </w:r>
          </w:p>
        </w:tc>
        <w:tc>
          <w:tcPr>
            <w:tcW w:w="2907" w:type="pct"/>
            <w:tcBorders>
              <w:tl2br w:val="nil"/>
              <w:tr2bl w:val="nil"/>
            </w:tcBorders>
            <w:vAlign w:val="center"/>
          </w:tcPr>
          <w:p w14:paraId="62F781E2">
            <w:pPr>
              <w:widowControl/>
              <w:kinsoku w:val="0"/>
              <w:autoSpaceDE w:val="0"/>
              <w:autoSpaceDN w:val="0"/>
              <w:adjustRightInd w:val="0"/>
              <w:snapToGrid w:val="0"/>
              <w:spacing w:line="400" w:lineRule="exact"/>
              <w:jc w:val="left"/>
              <w:textAlignment w:val="baseline"/>
              <w:rPr>
                <w:rFonts w:hint="eastAsia" w:ascii="宋体" w:hAnsi="宋体" w:eastAsia="宋体" w:cs="宋体"/>
                <w:b w:val="0"/>
                <w:bCs w:val="0"/>
                <w:snapToGrid w:val="0"/>
                <w:color w:val="000000"/>
                <w:sz w:val="24"/>
                <w:szCs w:val="24"/>
                <w:highlight w:val="none"/>
              </w:rPr>
            </w:pPr>
            <w:r>
              <w:rPr>
                <w:rFonts w:hint="eastAsia" w:ascii="宋体" w:hAnsi="宋体" w:eastAsia="宋体" w:cs="宋体"/>
                <w:b w:val="0"/>
                <w:bCs w:val="0"/>
                <w:snapToGrid w:val="0"/>
                <w:color w:val="000000"/>
                <w:sz w:val="24"/>
                <w:szCs w:val="24"/>
                <w:highlight w:val="none"/>
              </w:rPr>
              <w:t>支持在桌面端查看所有设备的运行台账信息。包括但不限于以下功能：①泵站运行状态查询；②泵机状态详情展示（设备状态、当前电流、远程控制、泵机启动次数等）；</w:t>
            </w:r>
          </w:p>
          <w:p w14:paraId="6931279A">
            <w:pPr>
              <w:widowControl/>
              <w:kinsoku w:val="0"/>
              <w:autoSpaceDE w:val="0"/>
              <w:autoSpaceDN w:val="0"/>
              <w:adjustRightInd w:val="0"/>
              <w:snapToGrid w:val="0"/>
              <w:spacing w:line="400" w:lineRule="exact"/>
              <w:jc w:val="left"/>
              <w:textAlignment w:val="baseline"/>
              <w:rPr>
                <w:rFonts w:hint="eastAsia" w:ascii="宋体" w:hAnsi="宋体" w:eastAsia="宋体" w:cs="宋体"/>
                <w:b/>
                <w:bCs/>
                <w:snapToGrid w:val="0"/>
                <w:color w:val="000000"/>
                <w:sz w:val="24"/>
                <w:szCs w:val="24"/>
                <w:highlight w:val="none"/>
              </w:rPr>
            </w:pPr>
            <w:r>
              <w:rPr>
                <w:rFonts w:hint="eastAsia" w:ascii="宋体" w:hAnsi="宋体" w:eastAsia="宋体" w:cs="宋体"/>
                <w:b/>
                <w:bCs/>
                <w:snapToGrid w:val="0"/>
                <w:color w:val="000000"/>
                <w:sz w:val="24"/>
                <w:szCs w:val="24"/>
                <w:highlight w:val="none"/>
              </w:rPr>
              <w:t>上述系统软件功能全部满足得</w:t>
            </w:r>
            <w:r>
              <w:rPr>
                <w:rFonts w:hint="eastAsia" w:ascii="宋体" w:hAnsi="宋体" w:cs="宋体"/>
                <w:b/>
                <w:bCs/>
                <w:snapToGrid w:val="0"/>
                <w:color w:val="000000"/>
                <w:sz w:val="24"/>
                <w:szCs w:val="24"/>
                <w:highlight w:val="none"/>
                <w:lang w:val="en-US" w:eastAsia="zh-CN"/>
              </w:rPr>
              <w:t>2</w:t>
            </w:r>
            <w:r>
              <w:rPr>
                <w:rFonts w:hint="eastAsia" w:ascii="宋体" w:hAnsi="宋体" w:eastAsia="宋体" w:cs="宋体"/>
                <w:b/>
                <w:bCs/>
                <w:snapToGrid w:val="0"/>
                <w:color w:val="000000"/>
                <w:sz w:val="24"/>
                <w:szCs w:val="24"/>
                <w:highlight w:val="none"/>
              </w:rPr>
              <w:t>分,缺一项或单项不完整扣</w:t>
            </w:r>
            <w:r>
              <w:rPr>
                <w:rFonts w:hint="eastAsia" w:ascii="宋体" w:hAnsi="宋体" w:cs="宋体"/>
                <w:b/>
                <w:bCs/>
                <w:snapToGrid w:val="0"/>
                <w:color w:val="000000"/>
                <w:sz w:val="24"/>
                <w:szCs w:val="24"/>
                <w:highlight w:val="none"/>
                <w:lang w:val="en-US" w:eastAsia="zh-CN"/>
              </w:rPr>
              <w:t>1</w:t>
            </w:r>
            <w:r>
              <w:rPr>
                <w:rFonts w:hint="eastAsia" w:ascii="宋体" w:hAnsi="宋体" w:eastAsia="宋体" w:cs="宋体"/>
                <w:b/>
                <w:bCs/>
                <w:snapToGrid w:val="0"/>
                <w:color w:val="000000"/>
                <w:sz w:val="24"/>
                <w:szCs w:val="24"/>
                <w:highlight w:val="none"/>
              </w:rPr>
              <w:t>分</w:t>
            </w:r>
            <w:r>
              <w:rPr>
                <w:rFonts w:hint="eastAsia"/>
                <w:highlight w:val="none"/>
                <w:lang w:eastAsia="zh-CN"/>
              </w:rPr>
              <w:t>，</w:t>
            </w:r>
            <w:r>
              <w:rPr>
                <w:rFonts w:hint="eastAsia" w:ascii="宋体" w:hAnsi="宋体" w:eastAsia="宋体" w:cs="宋体"/>
                <w:b/>
                <w:bCs/>
                <w:snapToGrid w:val="0"/>
                <w:color w:val="000000"/>
                <w:sz w:val="24"/>
                <w:szCs w:val="24"/>
                <w:highlight w:val="none"/>
              </w:rPr>
              <w:t>扣完为止。</w:t>
            </w:r>
          </w:p>
        </w:tc>
        <w:tc>
          <w:tcPr>
            <w:tcW w:w="441" w:type="pct"/>
            <w:tcBorders>
              <w:tl2br w:val="nil"/>
              <w:tr2bl w:val="nil"/>
            </w:tcBorders>
            <w:noWrap/>
            <w:vAlign w:val="center"/>
          </w:tcPr>
          <w:p w14:paraId="2419D2E7">
            <w:pPr>
              <w:widowControl/>
              <w:kinsoku w:val="0"/>
              <w:autoSpaceDE w:val="0"/>
              <w:autoSpaceDN w:val="0"/>
              <w:adjustRightInd w:val="0"/>
              <w:snapToGrid w:val="0"/>
              <w:spacing w:line="400" w:lineRule="exact"/>
              <w:jc w:val="center"/>
              <w:textAlignment w:val="baseline"/>
              <w:rPr>
                <w:rFonts w:hint="default" w:ascii="宋体" w:hAnsi="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2</w:t>
            </w:r>
          </w:p>
        </w:tc>
      </w:tr>
      <w:tr w14:paraId="182DC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7546DD94">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23014EFE">
            <w:pPr>
              <w:widowControl/>
              <w:kinsoku w:val="0"/>
              <w:autoSpaceDE w:val="0"/>
              <w:autoSpaceDN w:val="0"/>
              <w:adjustRightInd w:val="0"/>
              <w:snapToGrid w:val="0"/>
              <w:spacing w:line="400" w:lineRule="exact"/>
              <w:jc w:val="center"/>
              <w:textAlignment w:val="baseline"/>
              <w:rPr>
                <w:rFonts w:hint="default" w:ascii="宋体" w:hAnsi="宋体" w:eastAsia="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2.11</w:t>
            </w:r>
          </w:p>
        </w:tc>
        <w:tc>
          <w:tcPr>
            <w:tcW w:w="577" w:type="pct"/>
            <w:tcBorders>
              <w:tl2br w:val="nil"/>
              <w:tr2bl w:val="nil"/>
            </w:tcBorders>
            <w:vAlign w:val="center"/>
          </w:tcPr>
          <w:p w14:paraId="6A779F80">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rPr>
              <w:t>远程控制</w:t>
            </w:r>
          </w:p>
        </w:tc>
        <w:tc>
          <w:tcPr>
            <w:tcW w:w="2907" w:type="pct"/>
            <w:tcBorders>
              <w:tl2br w:val="nil"/>
              <w:tr2bl w:val="nil"/>
            </w:tcBorders>
            <w:vAlign w:val="center"/>
          </w:tcPr>
          <w:p w14:paraId="57D6DF62">
            <w:pPr>
              <w:widowControl/>
              <w:kinsoku w:val="0"/>
              <w:autoSpaceDE w:val="0"/>
              <w:autoSpaceDN w:val="0"/>
              <w:adjustRightInd w:val="0"/>
              <w:snapToGrid w:val="0"/>
              <w:spacing w:line="400" w:lineRule="exact"/>
              <w:jc w:val="left"/>
              <w:textAlignment w:val="baseline"/>
              <w:rPr>
                <w:rFonts w:hint="eastAsia" w:ascii="宋体" w:hAnsi="宋体" w:eastAsia="宋体" w:cs="宋体"/>
                <w:b w:val="0"/>
                <w:bCs w:val="0"/>
                <w:snapToGrid w:val="0"/>
                <w:color w:val="000000"/>
                <w:sz w:val="24"/>
                <w:szCs w:val="24"/>
                <w:highlight w:val="none"/>
              </w:rPr>
            </w:pPr>
            <w:r>
              <w:rPr>
                <w:rFonts w:hint="eastAsia" w:ascii="宋体" w:hAnsi="宋体" w:eastAsia="宋体" w:cs="宋体"/>
                <w:b w:val="0"/>
                <w:bCs w:val="0"/>
                <w:snapToGrid w:val="0"/>
                <w:color w:val="000000"/>
                <w:sz w:val="24"/>
                <w:szCs w:val="24"/>
                <w:highlight w:val="none"/>
              </w:rPr>
              <w:t>支持泵机远程控制功能，包括但不限于以下功能：①通过动态密码验证后执行泵机远程启停控制。②支持查看远程启停操作记录及泵机启闭记录。</w:t>
            </w:r>
          </w:p>
          <w:p w14:paraId="4916AB83">
            <w:pPr>
              <w:widowControl/>
              <w:kinsoku w:val="0"/>
              <w:autoSpaceDE w:val="0"/>
              <w:autoSpaceDN w:val="0"/>
              <w:adjustRightInd w:val="0"/>
              <w:snapToGrid w:val="0"/>
              <w:spacing w:line="400" w:lineRule="exact"/>
              <w:jc w:val="left"/>
              <w:textAlignment w:val="baseline"/>
              <w:rPr>
                <w:rFonts w:hint="eastAsia" w:ascii="宋体" w:hAnsi="宋体" w:eastAsia="宋体" w:cs="宋体"/>
                <w:b/>
                <w:bCs/>
                <w:snapToGrid w:val="0"/>
                <w:color w:val="000000"/>
                <w:sz w:val="24"/>
                <w:szCs w:val="24"/>
                <w:highlight w:val="none"/>
              </w:rPr>
            </w:pPr>
            <w:r>
              <w:rPr>
                <w:rFonts w:hint="eastAsia" w:ascii="宋体" w:hAnsi="宋体" w:eastAsia="宋体" w:cs="宋体"/>
                <w:b/>
                <w:bCs/>
                <w:snapToGrid w:val="0"/>
                <w:color w:val="000000"/>
                <w:sz w:val="24"/>
                <w:szCs w:val="24"/>
                <w:highlight w:val="none"/>
              </w:rPr>
              <w:t>上述系统软件功能全部满足得</w:t>
            </w:r>
            <w:r>
              <w:rPr>
                <w:rFonts w:hint="eastAsia" w:ascii="宋体" w:hAnsi="宋体" w:cs="宋体"/>
                <w:b/>
                <w:bCs/>
                <w:snapToGrid w:val="0"/>
                <w:color w:val="000000"/>
                <w:sz w:val="24"/>
                <w:szCs w:val="24"/>
                <w:highlight w:val="none"/>
                <w:lang w:val="en-US" w:eastAsia="zh-CN"/>
              </w:rPr>
              <w:t>2</w:t>
            </w:r>
            <w:r>
              <w:rPr>
                <w:rFonts w:hint="eastAsia" w:ascii="宋体" w:hAnsi="宋体" w:eastAsia="宋体" w:cs="宋体"/>
                <w:b/>
                <w:bCs/>
                <w:snapToGrid w:val="0"/>
                <w:color w:val="000000"/>
                <w:sz w:val="24"/>
                <w:szCs w:val="24"/>
                <w:highlight w:val="none"/>
              </w:rPr>
              <w:t>分,缺一项或单项不完整扣</w:t>
            </w:r>
            <w:r>
              <w:rPr>
                <w:rFonts w:hint="eastAsia" w:ascii="宋体" w:hAnsi="宋体" w:cs="宋体"/>
                <w:b/>
                <w:bCs/>
                <w:snapToGrid w:val="0"/>
                <w:color w:val="000000"/>
                <w:sz w:val="24"/>
                <w:szCs w:val="24"/>
                <w:highlight w:val="none"/>
                <w:lang w:val="en-US" w:eastAsia="zh-CN"/>
              </w:rPr>
              <w:t>1</w:t>
            </w:r>
            <w:r>
              <w:rPr>
                <w:rFonts w:hint="eastAsia" w:ascii="宋体" w:hAnsi="宋体" w:eastAsia="宋体" w:cs="宋体"/>
                <w:b/>
                <w:bCs/>
                <w:snapToGrid w:val="0"/>
                <w:color w:val="000000"/>
                <w:sz w:val="24"/>
                <w:szCs w:val="24"/>
                <w:highlight w:val="none"/>
              </w:rPr>
              <w:t>分</w:t>
            </w:r>
            <w:r>
              <w:rPr>
                <w:rFonts w:hint="eastAsia"/>
                <w:highlight w:val="none"/>
                <w:lang w:eastAsia="zh-CN"/>
              </w:rPr>
              <w:t>，</w:t>
            </w:r>
            <w:r>
              <w:rPr>
                <w:rFonts w:hint="eastAsia" w:ascii="宋体" w:hAnsi="宋体" w:eastAsia="宋体" w:cs="宋体"/>
                <w:b/>
                <w:bCs/>
                <w:snapToGrid w:val="0"/>
                <w:color w:val="000000"/>
                <w:sz w:val="24"/>
                <w:szCs w:val="24"/>
                <w:highlight w:val="none"/>
              </w:rPr>
              <w:t>扣完为止。</w:t>
            </w:r>
          </w:p>
        </w:tc>
        <w:tc>
          <w:tcPr>
            <w:tcW w:w="441" w:type="pct"/>
            <w:tcBorders>
              <w:tl2br w:val="nil"/>
              <w:tr2bl w:val="nil"/>
            </w:tcBorders>
            <w:noWrap/>
            <w:vAlign w:val="center"/>
          </w:tcPr>
          <w:p w14:paraId="37D66E6E">
            <w:pPr>
              <w:widowControl/>
              <w:kinsoku w:val="0"/>
              <w:autoSpaceDE w:val="0"/>
              <w:autoSpaceDN w:val="0"/>
              <w:adjustRightInd w:val="0"/>
              <w:snapToGrid w:val="0"/>
              <w:spacing w:line="400" w:lineRule="exact"/>
              <w:jc w:val="center"/>
              <w:textAlignment w:val="baseline"/>
              <w:rPr>
                <w:rFonts w:hint="default" w:ascii="宋体" w:hAnsi="宋体" w:cs="宋体"/>
                <w:snapToGrid w:val="0"/>
                <w:color w:val="000000"/>
                <w:sz w:val="24"/>
                <w:szCs w:val="24"/>
                <w:highlight w:val="none"/>
                <w:lang w:val="en-US" w:eastAsia="zh-CN"/>
              </w:rPr>
            </w:pPr>
            <w:r>
              <w:rPr>
                <w:rFonts w:hint="eastAsia" w:ascii="宋体" w:hAnsi="宋体" w:cs="宋体"/>
                <w:snapToGrid w:val="0"/>
                <w:color w:val="000000"/>
                <w:sz w:val="24"/>
                <w:szCs w:val="24"/>
                <w:highlight w:val="none"/>
                <w:lang w:val="en-US" w:eastAsia="zh-CN"/>
              </w:rPr>
              <w:t>2</w:t>
            </w:r>
          </w:p>
        </w:tc>
      </w:tr>
      <w:tr w14:paraId="4749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65" w:type="pct"/>
            <w:vMerge w:val="restart"/>
            <w:tcBorders>
              <w:tl2br w:val="nil"/>
              <w:tr2bl w:val="nil"/>
            </w:tcBorders>
            <w:vAlign w:val="center"/>
          </w:tcPr>
          <w:p w14:paraId="348C8650">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三、商务部分</w:t>
            </w:r>
          </w:p>
          <w:p w14:paraId="67D5E04E">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w:t>
            </w:r>
            <w:r>
              <w:rPr>
                <w:rFonts w:hint="eastAsia" w:ascii="宋体" w:hAnsi="宋体" w:cs="宋体"/>
                <w:snapToGrid w:val="0"/>
                <w:color w:val="000000"/>
                <w:sz w:val="24"/>
                <w:szCs w:val="24"/>
                <w:highlight w:val="none"/>
                <w:lang w:val="en-US" w:eastAsia="zh-CN"/>
              </w:rPr>
              <w:t>13</w:t>
            </w:r>
            <w:r>
              <w:rPr>
                <w:rFonts w:hint="eastAsia" w:ascii="宋体" w:hAnsi="宋体" w:eastAsia="宋体" w:cs="宋体"/>
                <w:snapToGrid w:val="0"/>
                <w:color w:val="000000"/>
                <w:sz w:val="24"/>
                <w:szCs w:val="24"/>
                <w:highlight w:val="none"/>
                <w:lang w:eastAsia="en-US"/>
              </w:rPr>
              <w:t>分）</w:t>
            </w:r>
          </w:p>
        </w:tc>
        <w:tc>
          <w:tcPr>
            <w:tcW w:w="407" w:type="pct"/>
            <w:tcBorders>
              <w:tl2br w:val="nil"/>
              <w:tr2bl w:val="nil"/>
            </w:tcBorders>
            <w:noWrap/>
            <w:vAlign w:val="center"/>
          </w:tcPr>
          <w:p w14:paraId="5DFB01E0">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3.1</w:t>
            </w:r>
          </w:p>
        </w:tc>
        <w:tc>
          <w:tcPr>
            <w:tcW w:w="577" w:type="pct"/>
            <w:tcBorders>
              <w:tl2br w:val="nil"/>
              <w:tr2bl w:val="nil"/>
            </w:tcBorders>
            <w:vAlign w:val="center"/>
          </w:tcPr>
          <w:p w14:paraId="41F8C957">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综合实力</w:t>
            </w:r>
          </w:p>
        </w:tc>
        <w:tc>
          <w:tcPr>
            <w:tcW w:w="2907" w:type="pct"/>
            <w:tcBorders>
              <w:tl2br w:val="nil"/>
              <w:tr2bl w:val="nil"/>
            </w:tcBorders>
            <w:vAlign w:val="center"/>
          </w:tcPr>
          <w:p w14:paraId="59DE38D0">
            <w:pPr>
              <w:widowControl/>
              <w:adjustRightInd w:val="0"/>
              <w:snapToGrid w:val="0"/>
              <w:spacing w:line="400" w:lineRule="exact"/>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①投标人</w:t>
            </w:r>
            <w:r>
              <w:rPr>
                <w:rFonts w:hint="eastAsia" w:asciiTheme="minorEastAsia" w:hAnsiTheme="minorEastAsia" w:cstheme="minorEastAsia"/>
                <w:sz w:val="24"/>
                <w:szCs w:val="24"/>
                <w:highlight w:val="none"/>
              </w:rPr>
              <w:t>具有</w:t>
            </w:r>
            <w:r>
              <w:rPr>
                <w:rFonts w:hint="eastAsia" w:ascii="宋体" w:hAnsi="宋体" w:eastAsia="宋体" w:cs="宋体"/>
                <w:sz w:val="24"/>
                <w:szCs w:val="24"/>
                <w:highlight w:val="none"/>
                <w:lang w:bidi="ar"/>
              </w:rPr>
              <w:t>数据安全服务能力评定证书</w:t>
            </w:r>
            <w:r>
              <w:rPr>
                <w:rFonts w:hint="eastAsia" w:ascii="宋体" w:hAnsi="宋体" w:cs="宋体"/>
                <w:sz w:val="24"/>
                <w:szCs w:val="24"/>
                <w:highlight w:val="none"/>
                <w:lang w:eastAsia="zh-CN" w:bidi="ar"/>
              </w:rPr>
              <w:t>（数据安全评估）</w:t>
            </w:r>
            <w:r>
              <w:rPr>
                <w:rFonts w:hint="eastAsia" w:ascii="宋体" w:hAnsi="宋体" w:cs="宋体"/>
                <w:sz w:val="24"/>
                <w:szCs w:val="24"/>
                <w:highlight w:val="none"/>
                <w:lang w:val="en-US" w:eastAsia="zh-CN" w:bidi="ar"/>
              </w:rPr>
              <w:t>的得1分</w:t>
            </w:r>
            <w:r>
              <w:rPr>
                <w:rFonts w:hint="eastAsia" w:ascii="宋体" w:hAnsi="宋体" w:cs="宋体"/>
                <w:sz w:val="24"/>
                <w:szCs w:val="24"/>
                <w:highlight w:val="none"/>
                <w:lang w:eastAsia="zh-CN" w:bidi="ar"/>
              </w:rPr>
              <w:t>。</w:t>
            </w:r>
          </w:p>
          <w:p w14:paraId="2E1EA840">
            <w:pPr>
              <w:widowControl/>
              <w:adjustRightInd w:val="0"/>
              <w:snapToGrid w:val="0"/>
              <w:spacing w:line="400" w:lineRule="exac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②投标人</w:t>
            </w:r>
            <w:r>
              <w:rPr>
                <w:rFonts w:hint="eastAsia" w:asciiTheme="minorEastAsia" w:hAnsiTheme="minorEastAsia" w:cstheme="minorEastAsia"/>
                <w:color w:val="auto"/>
                <w:sz w:val="24"/>
                <w:szCs w:val="24"/>
                <w:highlight w:val="none"/>
              </w:rPr>
              <w:t>具有</w:t>
            </w:r>
            <w:r>
              <w:rPr>
                <w:rFonts w:hint="eastAsia" w:ascii="宋体" w:hAnsi="宋体" w:eastAsia="宋体" w:cs="宋体"/>
                <w:color w:val="auto"/>
                <w:sz w:val="24"/>
                <w:szCs w:val="24"/>
                <w:highlight w:val="none"/>
                <w:lang w:bidi="ar"/>
              </w:rPr>
              <w:t>信息技术服务标准(ITSS)符合性证书得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w:t>
            </w:r>
          </w:p>
          <w:p w14:paraId="6E56EAC6">
            <w:pPr>
              <w:widowControl/>
              <w:adjustRightInd w:val="0"/>
              <w:snapToGrid w:val="0"/>
              <w:spacing w:line="400" w:lineRule="exact"/>
              <w:textAlignment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③投标人具有大数据企业服务能力评价证书的得</w:t>
            </w:r>
            <w:r>
              <w:rPr>
                <w:rFonts w:hint="eastAsia" w:ascii="宋体" w:hAnsi="宋体" w:cs="宋体"/>
                <w:sz w:val="24"/>
                <w:szCs w:val="24"/>
                <w:highlight w:val="none"/>
                <w:lang w:val="en-US" w:eastAsia="zh-CN" w:bidi="ar"/>
              </w:rPr>
              <w:t>1</w:t>
            </w:r>
            <w:r>
              <w:rPr>
                <w:rFonts w:hint="eastAsia" w:ascii="宋体" w:hAnsi="宋体" w:eastAsia="宋体" w:cs="宋体"/>
                <w:sz w:val="24"/>
                <w:szCs w:val="24"/>
                <w:highlight w:val="none"/>
                <w:lang w:bidi="ar"/>
              </w:rPr>
              <w:t>分。</w:t>
            </w:r>
          </w:p>
          <w:p w14:paraId="046E11CE">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b/>
                <w:bCs/>
                <w:sz w:val="24"/>
                <w:szCs w:val="24"/>
                <w:highlight w:val="none"/>
                <w:lang w:bidi="ar"/>
              </w:rPr>
              <w:t>（须提供有效期内的证书扫描件）</w:t>
            </w:r>
          </w:p>
        </w:tc>
        <w:tc>
          <w:tcPr>
            <w:tcW w:w="441" w:type="pct"/>
            <w:tcBorders>
              <w:tl2br w:val="nil"/>
              <w:tr2bl w:val="nil"/>
            </w:tcBorders>
            <w:noWrap/>
            <w:vAlign w:val="center"/>
          </w:tcPr>
          <w:p w14:paraId="3BA6AF22">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zh-CN"/>
              </w:rPr>
            </w:pPr>
            <w:r>
              <w:rPr>
                <w:rFonts w:hint="eastAsia" w:ascii="宋体" w:hAnsi="宋体" w:cs="宋体"/>
                <w:snapToGrid w:val="0"/>
                <w:color w:val="000000"/>
                <w:sz w:val="24"/>
                <w:szCs w:val="24"/>
                <w:highlight w:val="none"/>
                <w:lang w:val="en-US" w:eastAsia="zh-CN"/>
              </w:rPr>
              <w:t>3</w:t>
            </w:r>
          </w:p>
        </w:tc>
      </w:tr>
      <w:tr w14:paraId="782B1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45D8819F">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18CCBF87">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lang w:eastAsia="en-US"/>
              </w:rPr>
              <w:t>3.</w:t>
            </w:r>
            <w:r>
              <w:rPr>
                <w:rFonts w:hint="eastAsia" w:ascii="宋体" w:hAnsi="宋体" w:eastAsia="宋体" w:cs="宋体"/>
                <w:snapToGrid w:val="0"/>
                <w:color w:val="000000"/>
                <w:sz w:val="24"/>
                <w:szCs w:val="24"/>
                <w:highlight w:val="none"/>
              </w:rPr>
              <w:t>2</w:t>
            </w:r>
          </w:p>
        </w:tc>
        <w:tc>
          <w:tcPr>
            <w:tcW w:w="577" w:type="pct"/>
            <w:tcBorders>
              <w:tl2br w:val="nil"/>
              <w:tr2bl w:val="nil"/>
            </w:tcBorders>
            <w:vAlign w:val="center"/>
          </w:tcPr>
          <w:p w14:paraId="0B88415C">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lang w:eastAsia="en-US"/>
              </w:rPr>
              <w:t>项目负责人</w:t>
            </w:r>
          </w:p>
        </w:tc>
        <w:tc>
          <w:tcPr>
            <w:tcW w:w="2907" w:type="pct"/>
            <w:tcBorders>
              <w:tl2br w:val="nil"/>
              <w:tr2bl w:val="nil"/>
            </w:tcBorders>
            <w:vAlign w:val="center"/>
          </w:tcPr>
          <w:p w14:paraId="0F9B4ED0">
            <w:pPr>
              <w:widowControl/>
              <w:kinsoku w:val="0"/>
              <w:autoSpaceDE w:val="0"/>
              <w:autoSpaceDN w:val="0"/>
              <w:adjustRightInd w:val="0"/>
              <w:snapToGrid w:val="0"/>
              <w:spacing w:line="400" w:lineRule="exact"/>
              <w:jc w:val="left"/>
              <w:textAlignment w:val="baseline"/>
              <w:rPr>
                <w:rFonts w:hint="eastAsia" w:ascii="宋体" w:hAnsi="宋体" w:eastAsia="宋体" w:cs="宋体"/>
                <w:bCs/>
                <w:snapToGrid w:val="0"/>
                <w:color w:val="000000"/>
                <w:sz w:val="24"/>
                <w:szCs w:val="24"/>
                <w:highlight w:val="none"/>
              </w:rPr>
            </w:pPr>
            <w:r>
              <w:rPr>
                <w:rFonts w:hint="eastAsia" w:ascii="宋体" w:hAnsi="宋体" w:eastAsia="宋体" w:cs="宋体"/>
                <w:bCs/>
                <w:snapToGrid w:val="0"/>
                <w:color w:val="000000"/>
                <w:sz w:val="24"/>
                <w:szCs w:val="24"/>
                <w:highlight w:val="none"/>
              </w:rPr>
              <w:t>投标人为本项目配备的项目负责人具有：</w:t>
            </w:r>
          </w:p>
          <w:p w14:paraId="29908C79">
            <w:pPr>
              <w:widowControl/>
              <w:kinsoku w:val="0"/>
              <w:autoSpaceDE w:val="0"/>
              <w:autoSpaceDN w:val="0"/>
              <w:adjustRightInd w:val="0"/>
              <w:snapToGrid w:val="0"/>
              <w:spacing w:line="400" w:lineRule="exact"/>
              <w:jc w:val="left"/>
              <w:textAlignment w:val="baseline"/>
              <w:rPr>
                <w:rFonts w:hint="eastAsia" w:ascii="宋体" w:hAnsi="宋体" w:eastAsia="宋体" w:cs="宋体"/>
                <w:bCs/>
                <w:snapToGrid w:val="0"/>
                <w:color w:val="000000"/>
                <w:sz w:val="24"/>
                <w:szCs w:val="24"/>
                <w:highlight w:val="none"/>
              </w:rPr>
            </w:pPr>
            <w:r>
              <w:rPr>
                <w:rFonts w:hint="eastAsia" w:ascii="宋体" w:hAnsi="宋体" w:eastAsia="宋体" w:cs="宋体"/>
                <w:bCs/>
                <w:snapToGrid w:val="0"/>
                <w:color w:val="000000"/>
                <w:sz w:val="24"/>
                <w:szCs w:val="24"/>
                <w:highlight w:val="none"/>
              </w:rPr>
              <w:t>①人社部门颁发的系统架构设计师证书的得</w:t>
            </w:r>
            <w:r>
              <w:rPr>
                <w:rFonts w:hint="eastAsia" w:ascii="宋体" w:hAnsi="宋体" w:cs="宋体"/>
                <w:bCs/>
                <w:snapToGrid w:val="0"/>
                <w:color w:val="000000"/>
                <w:sz w:val="24"/>
                <w:szCs w:val="24"/>
                <w:highlight w:val="none"/>
                <w:lang w:val="en-US" w:eastAsia="zh-CN"/>
              </w:rPr>
              <w:t>1</w:t>
            </w:r>
            <w:r>
              <w:rPr>
                <w:rFonts w:hint="eastAsia" w:ascii="宋体" w:hAnsi="宋体" w:eastAsia="宋体" w:cs="宋体"/>
                <w:bCs/>
                <w:snapToGrid w:val="0"/>
                <w:color w:val="000000"/>
                <w:sz w:val="24"/>
                <w:szCs w:val="24"/>
                <w:highlight w:val="none"/>
              </w:rPr>
              <w:t>分。</w:t>
            </w:r>
          </w:p>
          <w:p w14:paraId="5CA20A57">
            <w:pPr>
              <w:widowControl/>
              <w:kinsoku w:val="0"/>
              <w:autoSpaceDE w:val="0"/>
              <w:autoSpaceDN w:val="0"/>
              <w:adjustRightInd w:val="0"/>
              <w:snapToGrid w:val="0"/>
              <w:spacing w:line="400" w:lineRule="exact"/>
              <w:jc w:val="left"/>
              <w:textAlignment w:val="baseline"/>
              <w:rPr>
                <w:rFonts w:hint="eastAsia" w:ascii="宋体" w:hAnsi="宋体" w:eastAsia="宋体" w:cs="宋体"/>
                <w:bCs/>
                <w:snapToGrid w:val="0"/>
                <w:color w:val="000000"/>
                <w:sz w:val="24"/>
                <w:szCs w:val="24"/>
                <w:highlight w:val="none"/>
              </w:rPr>
            </w:pPr>
            <w:r>
              <w:rPr>
                <w:rFonts w:hint="eastAsia" w:ascii="宋体" w:hAnsi="宋体" w:eastAsia="宋体" w:cs="宋体"/>
                <w:bCs/>
                <w:snapToGrid w:val="0"/>
                <w:color w:val="000000"/>
                <w:sz w:val="24"/>
                <w:szCs w:val="24"/>
                <w:highlight w:val="none"/>
              </w:rPr>
              <w:t>②一级</w:t>
            </w:r>
            <w:r>
              <w:rPr>
                <w:rFonts w:hint="eastAsia" w:ascii="宋体" w:hAnsi="宋体" w:cs="宋体"/>
                <w:bCs/>
                <w:snapToGrid w:val="0"/>
                <w:color w:val="000000"/>
                <w:sz w:val="24"/>
                <w:szCs w:val="24"/>
                <w:highlight w:val="none"/>
                <w:lang w:val="en-US" w:eastAsia="zh-CN"/>
              </w:rPr>
              <w:t>注册</w:t>
            </w:r>
            <w:r>
              <w:rPr>
                <w:rFonts w:hint="eastAsia" w:ascii="宋体" w:hAnsi="宋体" w:eastAsia="宋体" w:cs="宋体"/>
                <w:bCs/>
                <w:snapToGrid w:val="0"/>
                <w:color w:val="000000"/>
                <w:sz w:val="24"/>
                <w:szCs w:val="24"/>
                <w:highlight w:val="none"/>
              </w:rPr>
              <w:t>建造师</w:t>
            </w:r>
            <w:r>
              <w:rPr>
                <w:rFonts w:hint="eastAsia" w:ascii="宋体" w:hAnsi="宋体" w:cs="宋体"/>
                <w:bCs/>
                <w:snapToGrid w:val="0"/>
                <w:color w:val="000000"/>
                <w:sz w:val="24"/>
                <w:szCs w:val="24"/>
                <w:highlight w:val="none"/>
                <w:lang w:eastAsia="zh-CN"/>
              </w:rPr>
              <w:t>（</w:t>
            </w:r>
            <w:r>
              <w:rPr>
                <w:rFonts w:hint="eastAsia" w:ascii="宋体" w:hAnsi="宋体" w:cs="宋体"/>
                <w:bCs/>
                <w:snapToGrid w:val="0"/>
                <w:color w:val="000000"/>
                <w:sz w:val="24"/>
                <w:szCs w:val="24"/>
                <w:highlight w:val="none"/>
                <w:lang w:val="en-US" w:eastAsia="zh-CN"/>
              </w:rPr>
              <w:t>机电工程</w:t>
            </w:r>
            <w:r>
              <w:rPr>
                <w:rFonts w:hint="eastAsia" w:ascii="宋体" w:hAnsi="宋体" w:cs="宋体"/>
                <w:bCs/>
                <w:snapToGrid w:val="0"/>
                <w:color w:val="000000"/>
                <w:sz w:val="24"/>
                <w:szCs w:val="24"/>
                <w:highlight w:val="none"/>
                <w:lang w:eastAsia="zh-CN"/>
              </w:rPr>
              <w:t>）</w:t>
            </w:r>
            <w:r>
              <w:rPr>
                <w:rFonts w:hint="eastAsia" w:ascii="宋体" w:hAnsi="宋体" w:eastAsia="宋体" w:cs="宋体"/>
                <w:bCs/>
                <w:snapToGrid w:val="0"/>
                <w:color w:val="000000"/>
                <w:sz w:val="24"/>
                <w:szCs w:val="24"/>
                <w:highlight w:val="none"/>
              </w:rPr>
              <w:t>证书的得</w:t>
            </w:r>
            <w:r>
              <w:rPr>
                <w:rFonts w:hint="eastAsia" w:ascii="宋体" w:hAnsi="宋体" w:cs="宋体"/>
                <w:bCs/>
                <w:snapToGrid w:val="0"/>
                <w:color w:val="000000"/>
                <w:sz w:val="24"/>
                <w:szCs w:val="24"/>
                <w:highlight w:val="none"/>
                <w:lang w:val="en-US" w:eastAsia="zh-CN"/>
              </w:rPr>
              <w:t>1</w:t>
            </w:r>
            <w:r>
              <w:rPr>
                <w:rFonts w:hint="eastAsia" w:ascii="宋体" w:hAnsi="宋体" w:eastAsia="宋体" w:cs="宋体"/>
                <w:bCs/>
                <w:snapToGrid w:val="0"/>
                <w:color w:val="000000"/>
                <w:sz w:val="24"/>
                <w:szCs w:val="24"/>
                <w:highlight w:val="none"/>
              </w:rPr>
              <w:t>分。</w:t>
            </w:r>
          </w:p>
          <w:p w14:paraId="5BBDD527">
            <w:pPr>
              <w:widowControl/>
              <w:kinsoku w:val="0"/>
              <w:autoSpaceDE w:val="0"/>
              <w:autoSpaceDN w:val="0"/>
              <w:adjustRightInd w:val="0"/>
              <w:snapToGrid w:val="0"/>
              <w:spacing w:line="400" w:lineRule="exact"/>
              <w:jc w:val="left"/>
              <w:textAlignment w:val="baseline"/>
              <w:rPr>
                <w:rFonts w:hint="eastAsia" w:ascii="宋体" w:hAnsi="宋体" w:eastAsia="宋体" w:cs="宋体"/>
                <w:b/>
                <w:snapToGrid w:val="0"/>
                <w:color w:val="000000"/>
                <w:sz w:val="24"/>
                <w:szCs w:val="24"/>
                <w:highlight w:val="none"/>
              </w:rPr>
            </w:pPr>
            <w:r>
              <w:rPr>
                <w:rFonts w:hint="eastAsia" w:ascii="宋体" w:hAnsi="宋体" w:eastAsia="宋体" w:cs="宋体"/>
                <w:bCs/>
                <w:snapToGrid w:val="0"/>
                <w:color w:val="000000"/>
                <w:sz w:val="24"/>
                <w:szCs w:val="24"/>
                <w:highlight w:val="none"/>
              </w:rPr>
              <w:t>③CISP注册信息安全专业人员证书的得</w:t>
            </w:r>
            <w:r>
              <w:rPr>
                <w:rFonts w:hint="eastAsia" w:ascii="宋体" w:hAnsi="宋体" w:cs="宋体"/>
                <w:bCs/>
                <w:snapToGrid w:val="0"/>
                <w:color w:val="000000"/>
                <w:sz w:val="24"/>
                <w:szCs w:val="24"/>
                <w:highlight w:val="none"/>
                <w:lang w:val="en-US" w:eastAsia="zh-CN"/>
              </w:rPr>
              <w:t>1</w:t>
            </w:r>
            <w:r>
              <w:rPr>
                <w:rFonts w:hint="eastAsia" w:ascii="宋体" w:hAnsi="宋体" w:eastAsia="宋体" w:cs="宋体"/>
                <w:bCs/>
                <w:snapToGrid w:val="0"/>
                <w:color w:val="000000"/>
                <w:sz w:val="24"/>
                <w:szCs w:val="24"/>
                <w:highlight w:val="none"/>
              </w:rPr>
              <w:t>分。</w:t>
            </w:r>
            <w:r>
              <w:rPr>
                <w:rFonts w:hint="eastAsia" w:ascii="宋体" w:hAnsi="宋体" w:eastAsia="宋体" w:cs="宋体"/>
                <w:b/>
                <w:snapToGrid w:val="0"/>
                <w:color w:val="000000"/>
                <w:sz w:val="24"/>
                <w:szCs w:val="24"/>
                <w:highlight w:val="none"/>
              </w:rPr>
              <w:t>【须提供证书扫描件，且须提供本单位近3个月（含投标当月）中任意1个月份为其缴纳社保的证明扫描件】</w:t>
            </w:r>
          </w:p>
        </w:tc>
        <w:tc>
          <w:tcPr>
            <w:tcW w:w="441" w:type="pct"/>
            <w:tcBorders>
              <w:tl2br w:val="nil"/>
              <w:tr2bl w:val="nil"/>
            </w:tcBorders>
            <w:noWrap/>
            <w:vAlign w:val="center"/>
          </w:tcPr>
          <w:p w14:paraId="5B72EF52">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zh-CN"/>
              </w:rPr>
            </w:pPr>
            <w:r>
              <w:rPr>
                <w:rFonts w:hint="eastAsia" w:ascii="宋体" w:hAnsi="宋体" w:cs="宋体"/>
                <w:snapToGrid w:val="0"/>
                <w:color w:val="000000"/>
                <w:sz w:val="24"/>
                <w:szCs w:val="24"/>
                <w:highlight w:val="none"/>
                <w:lang w:val="en-US" w:eastAsia="zh-CN"/>
              </w:rPr>
              <w:t>3</w:t>
            </w:r>
          </w:p>
        </w:tc>
      </w:tr>
      <w:tr w14:paraId="72DD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5" w:type="pct"/>
            <w:vMerge w:val="continue"/>
            <w:tcBorders>
              <w:tl2br w:val="nil"/>
              <w:tr2bl w:val="nil"/>
            </w:tcBorders>
            <w:vAlign w:val="center"/>
          </w:tcPr>
          <w:p w14:paraId="4BCFA561">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6AB02E26">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lang w:eastAsia="en-US"/>
              </w:rPr>
              <w:t>3.</w:t>
            </w:r>
            <w:r>
              <w:rPr>
                <w:rFonts w:hint="eastAsia" w:ascii="宋体" w:hAnsi="宋体" w:eastAsia="宋体" w:cs="宋体"/>
                <w:snapToGrid w:val="0"/>
                <w:color w:val="000000"/>
                <w:sz w:val="24"/>
                <w:szCs w:val="24"/>
                <w:highlight w:val="none"/>
              </w:rPr>
              <w:t>3</w:t>
            </w:r>
          </w:p>
        </w:tc>
        <w:tc>
          <w:tcPr>
            <w:tcW w:w="577" w:type="pct"/>
            <w:tcBorders>
              <w:tl2br w:val="nil"/>
              <w:tr2bl w:val="nil"/>
            </w:tcBorders>
            <w:vAlign w:val="center"/>
          </w:tcPr>
          <w:p w14:paraId="4BE2ACF5">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项目团队</w:t>
            </w:r>
          </w:p>
        </w:tc>
        <w:tc>
          <w:tcPr>
            <w:tcW w:w="2907" w:type="pct"/>
            <w:tcBorders>
              <w:tl2br w:val="nil"/>
              <w:tr2bl w:val="nil"/>
            </w:tcBorders>
            <w:vAlign w:val="center"/>
          </w:tcPr>
          <w:p w14:paraId="2261E37E">
            <w:pPr>
              <w:widowControl/>
              <w:kinsoku w:val="0"/>
              <w:autoSpaceDE w:val="0"/>
              <w:autoSpaceDN w:val="0"/>
              <w:adjustRightInd w:val="0"/>
              <w:snapToGrid w:val="0"/>
              <w:spacing w:line="400" w:lineRule="exact"/>
              <w:jc w:val="left"/>
              <w:textAlignment w:val="baseline"/>
              <w:rPr>
                <w:rFonts w:hint="eastAsia" w:ascii="宋体" w:hAnsi="宋体" w:eastAsia="宋体" w:cs="宋体"/>
                <w:bCs/>
                <w:snapToGrid w:val="0"/>
                <w:color w:val="000000"/>
                <w:sz w:val="24"/>
                <w:szCs w:val="24"/>
                <w:highlight w:val="none"/>
              </w:rPr>
            </w:pPr>
            <w:r>
              <w:rPr>
                <w:rFonts w:hint="eastAsia" w:ascii="宋体" w:hAnsi="宋体" w:eastAsia="宋体" w:cs="宋体"/>
                <w:bCs/>
                <w:snapToGrid w:val="0"/>
                <w:color w:val="000000"/>
                <w:sz w:val="24"/>
                <w:szCs w:val="24"/>
                <w:highlight w:val="none"/>
              </w:rPr>
              <w:t>投标人为本项目配备的项目组其他成员（项目负责人除外）中：</w:t>
            </w:r>
          </w:p>
          <w:p w14:paraId="4C9B708A">
            <w:pPr>
              <w:widowControl/>
              <w:spacing w:line="400" w:lineRule="exact"/>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①硬件实施团队负责人：具有机电一体化工程师证书</w:t>
            </w:r>
            <w:r>
              <w:rPr>
                <w:rFonts w:hint="eastAsia" w:ascii="宋体" w:hAnsi="宋体" w:cs="宋体"/>
                <w:sz w:val="24"/>
                <w:szCs w:val="24"/>
                <w:highlight w:val="none"/>
                <w:lang w:val="en-US" w:eastAsia="zh-CN" w:bidi="ar"/>
              </w:rPr>
              <w:t>的得1分</w:t>
            </w:r>
            <w:r>
              <w:rPr>
                <w:rFonts w:hint="eastAsia" w:ascii="宋体" w:hAnsi="宋体" w:cs="宋体"/>
                <w:sz w:val="24"/>
                <w:szCs w:val="24"/>
                <w:highlight w:val="none"/>
                <w:lang w:eastAsia="zh-CN" w:bidi="ar"/>
              </w:rPr>
              <w:t>、</w:t>
            </w:r>
            <w:r>
              <w:rPr>
                <w:rFonts w:hint="eastAsia" w:ascii="宋体" w:hAnsi="宋体" w:cs="宋体"/>
                <w:sz w:val="24"/>
                <w:szCs w:val="24"/>
                <w:highlight w:val="none"/>
                <w:lang w:val="en-US" w:eastAsia="zh-CN" w:bidi="ar"/>
              </w:rPr>
              <w:t>具有低压电工证证书</w:t>
            </w:r>
            <w:r>
              <w:rPr>
                <w:rFonts w:hint="eastAsia" w:ascii="宋体" w:hAnsi="宋体" w:eastAsia="宋体" w:cs="宋体"/>
                <w:sz w:val="24"/>
                <w:szCs w:val="24"/>
                <w:highlight w:val="none"/>
                <w:lang w:bidi="ar"/>
              </w:rPr>
              <w:t>的得</w:t>
            </w:r>
            <w:r>
              <w:rPr>
                <w:rFonts w:hint="eastAsia" w:ascii="宋体" w:hAnsi="宋体" w:cs="宋体"/>
                <w:sz w:val="24"/>
                <w:szCs w:val="24"/>
                <w:highlight w:val="none"/>
                <w:lang w:val="en-US" w:eastAsia="zh-CN" w:bidi="ar"/>
              </w:rPr>
              <w:t>1</w:t>
            </w:r>
            <w:r>
              <w:rPr>
                <w:rFonts w:hint="eastAsia" w:ascii="宋体" w:hAnsi="宋体" w:eastAsia="宋体" w:cs="宋体"/>
                <w:sz w:val="24"/>
                <w:szCs w:val="24"/>
                <w:highlight w:val="none"/>
                <w:lang w:bidi="ar"/>
              </w:rPr>
              <w:t>分。</w:t>
            </w:r>
          </w:p>
          <w:p w14:paraId="5D8963E1">
            <w:pPr>
              <w:widowControl/>
              <w:spacing w:line="400" w:lineRule="exact"/>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②软件开发团队负责人：具有</w:t>
            </w:r>
            <w:r>
              <w:rPr>
                <w:rFonts w:hint="eastAsia" w:ascii="宋体" w:hAnsi="宋体" w:eastAsia="宋体" w:cs="宋体"/>
                <w:bCs/>
                <w:snapToGrid w:val="0"/>
                <w:color w:val="000000"/>
                <w:sz w:val="24"/>
                <w:szCs w:val="24"/>
                <w:highlight w:val="none"/>
              </w:rPr>
              <w:t>人社部门颁发的</w:t>
            </w:r>
            <w:r>
              <w:rPr>
                <w:rFonts w:hint="eastAsia" w:ascii="宋体" w:hAnsi="宋体" w:cs="宋体"/>
                <w:sz w:val="24"/>
                <w:szCs w:val="24"/>
                <w:highlight w:val="none"/>
                <w:lang w:val="en-US" w:eastAsia="zh-CN" w:bidi="ar"/>
              </w:rPr>
              <w:t>软件设计师</w:t>
            </w:r>
            <w:r>
              <w:rPr>
                <w:rFonts w:hint="eastAsia" w:ascii="宋体" w:hAnsi="宋体" w:eastAsia="宋体" w:cs="宋体"/>
                <w:sz w:val="24"/>
                <w:szCs w:val="24"/>
                <w:highlight w:val="none"/>
                <w:lang w:bidi="ar"/>
              </w:rPr>
              <w:t>证书的得</w:t>
            </w:r>
            <w:r>
              <w:rPr>
                <w:rFonts w:hint="eastAsia" w:ascii="宋体" w:hAnsi="宋体" w:cs="宋体"/>
                <w:sz w:val="24"/>
                <w:szCs w:val="24"/>
                <w:highlight w:val="none"/>
                <w:lang w:val="en-US" w:eastAsia="zh-CN" w:bidi="ar"/>
              </w:rPr>
              <w:t>1</w:t>
            </w:r>
            <w:r>
              <w:rPr>
                <w:rFonts w:hint="eastAsia" w:ascii="宋体" w:hAnsi="宋体" w:eastAsia="宋体" w:cs="宋体"/>
                <w:sz w:val="24"/>
                <w:szCs w:val="24"/>
                <w:highlight w:val="none"/>
                <w:lang w:bidi="ar"/>
              </w:rPr>
              <w:t>分；具有软件测试工程师证书或人社部门颁发的软件评测师证书的，得</w:t>
            </w:r>
            <w:r>
              <w:rPr>
                <w:rFonts w:hint="eastAsia" w:ascii="宋体" w:hAnsi="宋体" w:cs="宋体"/>
                <w:sz w:val="24"/>
                <w:szCs w:val="24"/>
                <w:highlight w:val="none"/>
                <w:lang w:val="en-US" w:eastAsia="zh-CN" w:bidi="ar"/>
              </w:rPr>
              <w:t>1</w:t>
            </w:r>
            <w:r>
              <w:rPr>
                <w:rFonts w:hint="eastAsia" w:ascii="宋体" w:hAnsi="宋体" w:eastAsia="宋体" w:cs="宋体"/>
                <w:sz w:val="24"/>
                <w:szCs w:val="24"/>
                <w:highlight w:val="none"/>
                <w:lang w:bidi="ar"/>
              </w:rPr>
              <w:t>分。</w:t>
            </w:r>
          </w:p>
          <w:p w14:paraId="66EA0313">
            <w:pPr>
              <w:widowControl/>
              <w:spacing w:line="400" w:lineRule="exact"/>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③</w:t>
            </w:r>
            <w:r>
              <w:rPr>
                <w:rFonts w:hint="eastAsia" w:ascii="宋体" w:hAnsi="宋体" w:cs="宋体"/>
                <w:sz w:val="24"/>
                <w:szCs w:val="24"/>
                <w:highlight w:val="none"/>
                <w:lang w:val="en-US" w:eastAsia="zh-CN" w:bidi="ar"/>
              </w:rPr>
              <w:t>驻场运维人员2人</w:t>
            </w:r>
            <w:r>
              <w:rPr>
                <w:rFonts w:hint="eastAsia" w:ascii="宋体" w:hAnsi="宋体" w:eastAsia="宋体" w:cs="宋体"/>
                <w:sz w:val="24"/>
                <w:szCs w:val="24"/>
                <w:highlight w:val="none"/>
                <w:lang w:bidi="ar"/>
              </w:rPr>
              <w:t>：具有数据安全</w:t>
            </w:r>
            <w:r>
              <w:rPr>
                <w:rFonts w:hint="eastAsia" w:ascii="宋体" w:hAnsi="宋体" w:cs="宋体"/>
                <w:sz w:val="24"/>
                <w:szCs w:val="24"/>
                <w:highlight w:val="none"/>
                <w:lang w:val="en-US" w:eastAsia="zh-CN" w:bidi="ar"/>
              </w:rPr>
              <w:t>评估师证书的得1分、具有</w:t>
            </w:r>
            <w:r>
              <w:rPr>
                <w:rFonts w:hint="eastAsia" w:ascii="宋体" w:hAnsi="宋体" w:eastAsia="宋体" w:cs="宋体"/>
                <w:sz w:val="24"/>
                <w:szCs w:val="24"/>
                <w:highlight w:val="none"/>
                <w:lang w:bidi="ar"/>
              </w:rPr>
              <w:t>人社部门颁发的系统规划与管理师证书</w:t>
            </w:r>
            <w:r>
              <w:rPr>
                <w:rFonts w:hint="eastAsia" w:ascii="宋体" w:hAnsi="宋体" w:cs="宋体"/>
                <w:sz w:val="24"/>
                <w:szCs w:val="24"/>
                <w:highlight w:val="none"/>
                <w:lang w:val="en-US" w:eastAsia="zh-CN" w:bidi="ar"/>
              </w:rPr>
              <w:t>的</w:t>
            </w:r>
            <w:r>
              <w:rPr>
                <w:rFonts w:hint="eastAsia" w:ascii="宋体" w:hAnsi="宋体" w:eastAsia="宋体" w:cs="宋体"/>
                <w:sz w:val="24"/>
                <w:szCs w:val="24"/>
                <w:highlight w:val="none"/>
                <w:lang w:bidi="ar"/>
              </w:rPr>
              <w:t>得</w:t>
            </w:r>
            <w:r>
              <w:rPr>
                <w:rFonts w:hint="eastAsia" w:ascii="宋体" w:hAnsi="宋体" w:cs="宋体"/>
                <w:sz w:val="24"/>
                <w:szCs w:val="24"/>
                <w:highlight w:val="none"/>
                <w:lang w:val="en-US" w:eastAsia="zh-CN" w:bidi="ar"/>
              </w:rPr>
              <w:t>1</w:t>
            </w:r>
            <w:r>
              <w:rPr>
                <w:rFonts w:hint="eastAsia" w:ascii="宋体" w:hAnsi="宋体" w:eastAsia="宋体" w:cs="宋体"/>
                <w:sz w:val="24"/>
                <w:szCs w:val="24"/>
                <w:highlight w:val="none"/>
                <w:lang w:bidi="ar"/>
              </w:rPr>
              <w:t>分。</w:t>
            </w:r>
          </w:p>
          <w:p w14:paraId="4251DB34">
            <w:pPr>
              <w:widowControl/>
              <w:kinsoku w:val="0"/>
              <w:autoSpaceDE w:val="0"/>
              <w:autoSpaceDN w:val="0"/>
              <w:adjustRightInd w:val="0"/>
              <w:snapToGrid w:val="0"/>
              <w:spacing w:line="400" w:lineRule="exact"/>
              <w:jc w:val="left"/>
              <w:textAlignment w:val="baseline"/>
              <w:rPr>
                <w:rFonts w:hint="eastAsia" w:ascii="宋体" w:hAnsi="宋体" w:eastAsia="宋体" w:cs="宋体"/>
                <w:b/>
                <w:snapToGrid w:val="0"/>
                <w:color w:val="000000"/>
                <w:sz w:val="24"/>
                <w:szCs w:val="24"/>
                <w:highlight w:val="none"/>
              </w:rPr>
            </w:pPr>
            <w:r>
              <w:rPr>
                <w:rFonts w:hint="eastAsia" w:ascii="宋体" w:hAnsi="宋体" w:eastAsia="宋体" w:cs="宋体"/>
                <w:b/>
                <w:snapToGrid w:val="0"/>
                <w:color w:val="000000"/>
                <w:sz w:val="24"/>
                <w:szCs w:val="24"/>
                <w:highlight w:val="none"/>
              </w:rPr>
              <w:t>【同一人员多张证书不重复得分，同一类证书不重复得分。须提供人员名单、证书扫描件，且须提供本单位近3个月（含投标当月）中任意1个月份为其缴纳社保的证明扫描件】</w:t>
            </w:r>
          </w:p>
        </w:tc>
        <w:tc>
          <w:tcPr>
            <w:tcW w:w="441" w:type="pct"/>
            <w:tcBorders>
              <w:tl2br w:val="nil"/>
              <w:tr2bl w:val="nil"/>
            </w:tcBorders>
            <w:noWrap/>
            <w:vAlign w:val="center"/>
          </w:tcPr>
          <w:p w14:paraId="45F93B78">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zh-CN"/>
              </w:rPr>
            </w:pPr>
            <w:r>
              <w:rPr>
                <w:rFonts w:hint="eastAsia" w:ascii="宋体" w:hAnsi="宋体" w:cs="宋体"/>
                <w:snapToGrid w:val="0"/>
                <w:color w:val="000000"/>
                <w:sz w:val="24"/>
                <w:szCs w:val="24"/>
                <w:highlight w:val="none"/>
                <w:lang w:val="en-US" w:eastAsia="zh-CN"/>
              </w:rPr>
              <w:t>6</w:t>
            </w:r>
          </w:p>
        </w:tc>
      </w:tr>
      <w:tr w14:paraId="1528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665" w:type="pct"/>
            <w:vMerge w:val="continue"/>
            <w:tcBorders>
              <w:tl2br w:val="nil"/>
              <w:tr2bl w:val="nil"/>
            </w:tcBorders>
            <w:vAlign w:val="center"/>
          </w:tcPr>
          <w:p w14:paraId="240DC9E6">
            <w:pPr>
              <w:widowControl/>
              <w:kinsoku w:val="0"/>
              <w:autoSpaceDE w:val="0"/>
              <w:autoSpaceDN w:val="0"/>
              <w:adjustRightInd w:val="0"/>
              <w:snapToGrid w:val="0"/>
              <w:spacing w:line="400" w:lineRule="exact"/>
              <w:jc w:val="left"/>
              <w:textAlignment w:val="baseline"/>
              <w:rPr>
                <w:rFonts w:hint="eastAsia" w:ascii="宋体" w:hAnsi="宋体" w:eastAsia="宋体" w:cs="宋体"/>
                <w:snapToGrid w:val="0"/>
                <w:color w:val="000000"/>
                <w:sz w:val="24"/>
                <w:szCs w:val="24"/>
                <w:highlight w:val="none"/>
                <w:lang w:eastAsia="en-US"/>
              </w:rPr>
            </w:pPr>
          </w:p>
        </w:tc>
        <w:tc>
          <w:tcPr>
            <w:tcW w:w="407" w:type="pct"/>
            <w:tcBorders>
              <w:tl2br w:val="nil"/>
              <w:tr2bl w:val="nil"/>
            </w:tcBorders>
            <w:noWrap/>
            <w:vAlign w:val="center"/>
          </w:tcPr>
          <w:p w14:paraId="1017CBB1">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rPr>
            </w:pPr>
            <w:r>
              <w:rPr>
                <w:rFonts w:hint="eastAsia" w:ascii="宋体" w:hAnsi="宋体" w:eastAsia="宋体" w:cs="宋体"/>
                <w:snapToGrid w:val="0"/>
                <w:color w:val="000000"/>
                <w:sz w:val="24"/>
                <w:szCs w:val="24"/>
                <w:highlight w:val="none"/>
                <w:lang w:eastAsia="en-US"/>
              </w:rPr>
              <w:t>3.</w:t>
            </w:r>
            <w:r>
              <w:rPr>
                <w:rFonts w:hint="eastAsia" w:ascii="宋体" w:hAnsi="宋体" w:eastAsia="宋体" w:cs="宋体"/>
                <w:snapToGrid w:val="0"/>
                <w:color w:val="000000"/>
                <w:sz w:val="24"/>
                <w:szCs w:val="24"/>
                <w:highlight w:val="none"/>
              </w:rPr>
              <w:t>4</w:t>
            </w:r>
          </w:p>
        </w:tc>
        <w:tc>
          <w:tcPr>
            <w:tcW w:w="577" w:type="pct"/>
            <w:tcBorders>
              <w:tl2br w:val="nil"/>
              <w:tr2bl w:val="nil"/>
            </w:tcBorders>
            <w:vAlign w:val="center"/>
          </w:tcPr>
          <w:p w14:paraId="7CF5C5E0">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en-US"/>
              </w:rPr>
            </w:pPr>
            <w:r>
              <w:rPr>
                <w:rFonts w:hint="eastAsia" w:ascii="宋体" w:hAnsi="宋体" w:eastAsia="宋体" w:cs="宋体"/>
                <w:snapToGrid w:val="0"/>
                <w:color w:val="000000"/>
                <w:sz w:val="24"/>
                <w:szCs w:val="24"/>
                <w:highlight w:val="none"/>
                <w:lang w:eastAsia="en-US"/>
              </w:rPr>
              <w:t>业绩</w:t>
            </w:r>
          </w:p>
        </w:tc>
        <w:tc>
          <w:tcPr>
            <w:tcW w:w="2907" w:type="pct"/>
            <w:tcBorders>
              <w:tl2br w:val="nil"/>
              <w:tr2bl w:val="nil"/>
            </w:tcBorders>
            <w:vAlign w:val="center"/>
          </w:tcPr>
          <w:p w14:paraId="6CA395C6">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202</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年1月1日以来（以合同签订时间为准），投标人具有</w:t>
            </w:r>
            <w:r>
              <w:rPr>
                <w:rFonts w:hint="eastAsia" w:ascii="宋体" w:hAnsi="宋体" w:cs="宋体"/>
                <w:color w:val="000000"/>
                <w:sz w:val="24"/>
                <w:szCs w:val="24"/>
                <w:highlight w:val="none"/>
                <w:lang w:val="en-US" w:eastAsia="zh-CN"/>
              </w:rPr>
              <w:t>类似项目</w:t>
            </w:r>
            <w:r>
              <w:rPr>
                <w:rFonts w:hint="eastAsia" w:ascii="宋体" w:hAnsi="宋体" w:eastAsia="宋体" w:cs="宋体"/>
                <w:color w:val="000000"/>
                <w:sz w:val="24"/>
                <w:szCs w:val="24"/>
                <w:highlight w:val="none"/>
              </w:rPr>
              <w:t>业绩</w:t>
            </w:r>
            <w:r>
              <w:rPr>
                <w:rFonts w:hint="eastAsia" w:ascii="宋体" w:hAnsi="宋体" w:eastAsia="宋体" w:cs="宋体"/>
                <w:sz w:val="24"/>
                <w:szCs w:val="24"/>
                <w:highlight w:val="none"/>
              </w:rPr>
              <w:t>，有一个得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分，最高得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w:t>
            </w:r>
          </w:p>
          <w:p w14:paraId="2054958C">
            <w:pPr>
              <w:widowControl/>
              <w:kinsoku w:val="0"/>
              <w:autoSpaceDE w:val="0"/>
              <w:autoSpaceDN w:val="0"/>
              <w:adjustRightInd w:val="0"/>
              <w:snapToGrid w:val="0"/>
              <w:spacing w:line="400" w:lineRule="exact"/>
              <w:jc w:val="left"/>
              <w:textAlignment w:val="baseline"/>
              <w:rPr>
                <w:rFonts w:hint="eastAsia" w:ascii="宋体" w:hAnsi="宋体" w:eastAsia="宋体" w:cs="宋体"/>
                <w:b/>
                <w:snapToGrid w:val="0"/>
                <w:color w:val="000000"/>
                <w:sz w:val="24"/>
                <w:szCs w:val="24"/>
                <w:highlight w:val="none"/>
              </w:rPr>
            </w:pPr>
            <w:r>
              <w:rPr>
                <w:rFonts w:hint="eastAsia" w:ascii="宋体" w:hAnsi="宋体" w:eastAsia="宋体" w:cs="宋体"/>
                <w:b/>
                <w:bCs/>
                <w:sz w:val="24"/>
                <w:szCs w:val="24"/>
                <w:highlight w:val="none"/>
              </w:rPr>
              <w:t>（须提供合同扫描件）</w:t>
            </w:r>
          </w:p>
        </w:tc>
        <w:tc>
          <w:tcPr>
            <w:tcW w:w="441" w:type="pct"/>
            <w:tcBorders>
              <w:tl2br w:val="nil"/>
              <w:tr2bl w:val="nil"/>
            </w:tcBorders>
            <w:noWrap/>
            <w:vAlign w:val="center"/>
          </w:tcPr>
          <w:p w14:paraId="0A07C6B6">
            <w:pPr>
              <w:widowControl/>
              <w:kinsoku w:val="0"/>
              <w:autoSpaceDE w:val="0"/>
              <w:autoSpaceDN w:val="0"/>
              <w:adjustRightInd w:val="0"/>
              <w:snapToGrid w:val="0"/>
              <w:spacing w:line="400" w:lineRule="exact"/>
              <w:jc w:val="center"/>
              <w:textAlignment w:val="baseline"/>
              <w:rPr>
                <w:rFonts w:hint="eastAsia" w:ascii="宋体" w:hAnsi="宋体" w:eastAsia="宋体" w:cs="宋体"/>
                <w:snapToGrid w:val="0"/>
                <w:color w:val="000000"/>
                <w:sz w:val="24"/>
                <w:szCs w:val="24"/>
                <w:highlight w:val="none"/>
                <w:lang w:eastAsia="zh-CN"/>
              </w:rPr>
            </w:pPr>
            <w:r>
              <w:rPr>
                <w:rFonts w:hint="eastAsia" w:ascii="宋体" w:hAnsi="宋体" w:cs="宋体"/>
                <w:snapToGrid w:val="0"/>
                <w:color w:val="000000"/>
                <w:sz w:val="24"/>
                <w:szCs w:val="24"/>
                <w:highlight w:val="none"/>
                <w:lang w:val="en-US" w:eastAsia="zh-CN"/>
              </w:rPr>
              <w:t>1</w:t>
            </w:r>
          </w:p>
        </w:tc>
      </w:tr>
    </w:tbl>
    <w:p w14:paraId="1F9A8BB4">
      <w:pPr>
        <w:rPr>
          <w:highlight w:val="none"/>
        </w:rPr>
        <w:sectPr>
          <w:pgSz w:w="11906" w:h="16838"/>
          <w:pgMar w:top="1247" w:right="1247" w:bottom="1247" w:left="1247" w:header="680" w:footer="992" w:gutter="0"/>
          <w:pgNumType w:fmt="numberInDash"/>
          <w:cols w:space="720" w:num="1"/>
          <w:docGrid w:linePitch="312" w:charSpace="0"/>
        </w:sectPr>
      </w:pPr>
    </w:p>
    <w:p w14:paraId="100431DF">
      <w:pPr>
        <w:rPr>
          <w:highlight w:val="none"/>
        </w:rPr>
      </w:pPr>
    </w:p>
    <w:p w14:paraId="5B43909D">
      <w:pPr>
        <w:pStyle w:val="28"/>
        <w:rPr>
          <w:highlight w:val="none"/>
        </w:rPr>
      </w:pPr>
      <w:r>
        <w:rPr>
          <w:rFonts w:hint="eastAsia"/>
          <w:highlight w:val="none"/>
        </w:rPr>
        <w:t>第五章　合同书（格式）</w:t>
      </w:r>
      <w:bookmarkEnd w:id="14"/>
    </w:p>
    <w:p w14:paraId="03A06EC7">
      <w:pPr>
        <w:spacing w:line="400" w:lineRule="exact"/>
        <w:rPr>
          <w:rFonts w:ascii="宋体" w:hAnsi="宋体" w:eastAsia="宋体" w:cs="Times New Roman"/>
          <w:bCs/>
          <w:sz w:val="24"/>
          <w:szCs w:val="24"/>
          <w:highlight w:val="none"/>
        </w:rPr>
      </w:pPr>
      <w:bookmarkStart w:id="15" w:name="_Toc251268363"/>
    </w:p>
    <w:p w14:paraId="3F190778">
      <w:pPr>
        <w:spacing w:line="40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甲方（采购单位）：</w:t>
      </w:r>
      <w:r>
        <w:rPr>
          <w:rFonts w:hint="eastAsia" w:ascii="宋体" w:hAnsi="宋体" w:eastAsia="宋体" w:cs="Times New Roman"/>
          <w:bCs/>
          <w:sz w:val="24"/>
          <w:szCs w:val="24"/>
          <w:highlight w:val="none"/>
          <w:u w:val="single"/>
        </w:rPr>
        <w:t>　　　　　　　　　　　　　　　　　　</w:t>
      </w:r>
    </w:p>
    <w:p w14:paraId="5286F85E">
      <w:pPr>
        <w:spacing w:line="40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乙方（中标单位）：</w:t>
      </w:r>
      <w:r>
        <w:rPr>
          <w:rFonts w:hint="eastAsia" w:ascii="宋体" w:hAnsi="宋体" w:eastAsia="宋体" w:cs="Times New Roman"/>
          <w:bCs/>
          <w:sz w:val="24"/>
          <w:szCs w:val="24"/>
          <w:highlight w:val="none"/>
          <w:u w:val="single"/>
        </w:rPr>
        <w:t>　　　　　　　　　　　　　　　　　　</w:t>
      </w:r>
    </w:p>
    <w:p w14:paraId="18B4AB43">
      <w:pPr>
        <w:spacing w:line="400" w:lineRule="exact"/>
        <w:jc w:val="center"/>
        <w:rPr>
          <w:rFonts w:ascii="宋体" w:hAnsi="宋体" w:eastAsia="宋体" w:cs="Times New Roman"/>
          <w:b/>
          <w:sz w:val="28"/>
          <w:szCs w:val="28"/>
          <w:highlight w:val="none"/>
          <w:lang w:val="de-DE"/>
        </w:rPr>
      </w:pPr>
    </w:p>
    <w:p w14:paraId="40D8A030">
      <w:pPr>
        <w:autoSpaceDE w:val="0"/>
        <w:autoSpaceDN w:val="0"/>
        <w:adjustRightInd w:val="0"/>
        <w:spacing w:line="400" w:lineRule="exact"/>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lang w:val="zh-CN"/>
        </w:rPr>
        <w:t>根据《中华人民共和国政府采购法》、《中华人民共和国民法典》等法律法规的规定，甲乙双方按照江阴市政府采购中心的采购结果签订本合同。</w:t>
      </w:r>
    </w:p>
    <w:p w14:paraId="46F90360">
      <w:pPr>
        <w:spacing w:line="400" w:lineRule="exact"/>
        <w:rPr>
          <w:rFonts w:ascii="宋体" w:hAnsi="宋体" w:eastAsia="宋体" w:cs="Times New Roman"/>
          <w:sz w:val="24"/>
          <w:szCs w:val="24"/>
          <w:highlight w:val="none"/>
        </w:rPr>
      </w:pPr>
    </w:p>
    <w:p w14:paraId="0CD1DC9E">
      <w:pPr>
        <w:spacing w:line="4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第一条　采购内容</w:t>
      </w:r>
    </w:p>
    <w:p w14:paraId="33227A2F">
      <w:pPr>
        <w:spacing w:line="400" w:lineRule="exact"/>
        <w:ind w:firstLine="480" w:firstLineChars="200"/>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1、项目名称（项目编号）：</w:t>
      </w:r>
      <w:r>
        <w:rPr>
          <w:rFonts w:hint="eastAsia" w:ascii="宋体" w:hAnsi="宋体" w:eastAsia="宋体" w:cs="Times New Roman"/>
          <w:sz w:val="24"/>
          <w:szCs w:val="24"/>
          <w:highlight w:val="none"/>
          <w:u w:val="single"/>
        </w:rPr>
        <w:t>　　　　　　　　　　　　　　　　　　　　</w:t>
      </w:r>
    </w:p>
    <w:p w14:paraId="48E93B00">
      <w:pPr>
        <w:spacing w:line="400" w:lineRule="exact"/>
        <w:ind w:firstLine="480" w:firstLineChars="200"/>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2、服务内容：</w:t>
      </w:r>
      <w:r>
        <w:rPr>
          <w:rFonts w:hint="eastAsia" w:ascii="宋体" w:hAnsi="宋体" w:eastAsia="宋体" w:cs="Times New Roman"/>
          <w:sz w:val="24"/>
          <w:szCs w:val="24"/>
          <w:highlight w:val="none"/>
          <w:u w:val="single"/>
        </w:rPr>
        <w:t>　　　　　　　　　　　　　　　　　　　　　　　　　　</w:t>
      </w:r>
    </w:p>
    <w:p w14:paraId="2458AC4B">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3、服务范围：</w:t>
      </w:r>
      <w:r>
        <w:rPr>
          <w:rFonts w:hint="eastAsia" w:ascii="宋体" w:hAnsi="宋体" w:eastAsia="宋体" w:cs="Times New Roman"/>
          <w:sz w:val="24"/>
          <w:szCs w:val="24"/>
          <w:highlight w:val="none"/>
          <w:u w:val="single"/>
        </w:rPr>
        <w:t>　　　　　　　　　　　　　　　　　　　　　　　　　　</w:t>
      </w:r>
    </w:p>
    <w:p w14:paraId="66D56227">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4、服务期限：</w:t>
      </w:r>
      <w:r>
        <w:rPr>
          <w:rFonts w:hint="eastAsia" w:ascii="宋体" w:hAnsi="宋体" w:eastAsia="宋体" w:cs="Times New Roman"/>
          <w:sz w:val="24"/>
          <w:szCs w:val="24"/>
          <w:highlight w:val="none"/>
          <w:u w:val="single"/>
        </w:rPr>
        <w:t>　　　　　　　　　　　　　　　　　　　　　　　　　　</w:t>
      </w:r>
    </w:p>
    <w:p w14:paraId="0579F6CD">
      <w:pPr>
        <w:spacing w:line="400" w:lineRule="exact"/>
        <w:ind w:firstLine="480" w:firstLineChars="200"/>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5、其他：</w:t>
      </w:r>
      <w:r>
        <w:rPr>
          <w:rFonts w:hint="eastAsia" w:ascii="宋体" w:hAnsi="宋体" w:eastAsia="宋体" w:cs="Times New Roman"/>
          <w:sz w:val="24"/>
          <w:szCs w:val="24"/>
          <w:highlight w:val="none"/>
          <w:u w:val="single"/>
        </w:rPr>
        <w:t>　　　　　　　　　　　　　　　　　　　　　　　　　　　　</w:t>
      </w:r>
    </w:p>
    <w:p w14:paraId="5895F901">
      <w:pPr>
        <w:autoSpaceDE w:val="0"/>
        <w:autoSpaceDN w:val="0"/>
        <w:adjustRightInd w:val="0"/>
        <w:spacing w:line="400" w:lineRule="exact"/>
        <w:jc w:val="left"/>
        <w:rPr>
          <w:rFonts w:ascii="黑体" w:hAnsi="黑体" w:eastAsia="黑体" w:cs="Times New Roman"/>
          <w:sz w:val="24"/>
          <w:szCs w:val="24"/>
          <w:highlight w:val="none"/>
          <w:lang w:val="zh-CN"/>
        </w:rPr>
      </w:pPr>
      <w:r>
        <w:rPr>
          <w:rFonts w:hint="eastAsia" w:ascii="黑体" w:hAnsi="黑体" w:eastAsia="黑体" w:cs="Times New Roman"/>
          <w:bCs/>
          <w:sz w:val="24"/>
          <w:szCs w:val="24"/>
          <w:highlight w:val="none"/>
          <w:lang w:val="zh-CN"/>
        </w:rPr>
        <w:t>第二条　合同总价款</w:t>
      </w:r>
    </w:p>
    <w:p w14:paraId="00E3F1F9">
      <w:pPr>
        <w:autoSpaceDE w:val="0"/>
        <w:autoSpaceDN w:val="0"/>
        <w:adjustRightInd w:val="0"/>
        <w:spacing w:line="400" w:lineRule="exact"/>
        <w:ind w:firstLine="480" w:firstLineChars="200"/>
        <w:jc w:val="left"/>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本合同人民币总价款为</w:t>
      </w:r>
      <w:r>
        <w:rPr>
          <w:rFonts w:hint="eastAsia" w:ascii="宋体" w:hAnsi="宋体" w:eastAsia="宋体" w:cs="Times New Roman"/>
          <w:sz w:val="24"/>
          <w:szCs w:val="24"/>
          <w:highlight w:val="none"/>
          <w:u w:val="single"/>
          <w:lang w:val="zh-CN"/>
        </w:rPr>
        <w:t xml:space="preserve">          </w:t>
      </w:r>
      <w:r>
        <w:rPr>
          <w:rFonts w:hint="eastAsia" w:ascii="宋体" w:hAnsi="宋体" w:eastAsia="宋体" w:cs="Times New Roman"/>
          <w:sz w:val="24"/>
          <w:szCs w:val="24"/>
          <w:highlight w:val="none"/>
          <w:lang w:val="zh-CN"/>
        </w:rPr>
        <w:t>（小写），</w:t>
      </w:r>
      <w:r>
        <w:rPr>
          <w:rFonts w:hint="eastAsia" w:ascii="宋体" w:hAnsi="宋体" w:eastAsia="宋体" w:cs="Times New Roman"/>
          <w:sz w:val="24"/>
          <w:szCs w:val="24"/>
          <w:highlight w:val="none"/>
          <w:u w:val="single"/>
          <w:lang w:val="zh-CN"/>
        </w:rPr>
        <w:t xml:space="preserve">                   </w:t>
      </w:r>
      <w:r>
        <w:rPr>
          <w:rFonts w:hint="eastAsia" w:ascii="宋体" w:hAnsi="宋体" w:eastAsia="宋体" w:cs="Times New Roman"/>
          <w:sz w:val="24"/>
          <w:szCs w:val="24"/>
          <w:highlight w:val="none"/>
          <w:lang w:val="zh-CN"/>
        </w:rPr>
        <w:t>（大写）。</w:t>
      </w:r>
    </w:p>
    <w:p w14:paraId="7419D8BE">
      <w:pPr>
        <w:autoSpaceDE w:val="0"/>
        <w:autoSpaceDN w:val="0"/>
        <w:adjustRightInd w:val="0"/>
        <w:spacing w:line="400" w:lineRule="exact"/>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lang w:val="zh-CN"/>
        </w:rPr>
        <w:t>本合同服务期限内合同总价款不变。（有另行规定的除外。）</w:t>
      </w:r>
    </w:p>
    <w:p w14:paraId="115BFA1C">
      <w:pPr>
        <w:autoSpaceDE w:val="0"/>
        <w:autoSpaceDN w:val="0"/>
        <w:adjustRightInd w:val="0"/>
        <w:spacing w:line="400" w:lineRule="exact"/>
        <w:rPr>
          <w:rFonts w:ascii="黑体" w:hAnsi="黑体" w:eastAsia="黑体" w:cs="Times New Roman"/>
          <w:bCs/>
          <w:sz w:val="24"/>
          <w:szCs w:val="24"/>
          <w:highlight w:val="none"/>
          <w:lang w:val="zh-CN"/>
        </w:rPr>
      </w:pPr>
      <w:r>
        <w:rPr>
          <w:rFonts w:hint="eastAsia" w:ascii="黑体" w:hAnsi="黑体" w:eastAsia="黑体" w:cs="Times New Roman"/>
          <w:bCs/>
          <w:sz w:val="24"/>
          <w:szCs w:val="24"/>
          <w:highlight w:val="none"/>
          <w:lang w:val="zh-CN"/>
        </w:rPr>
        <w:t>第三条  履约保证金的缴纳和退还</w:t>
      </w:r>
    </w:p>
    <w:p w14:paraId="1FE986CC">
      <w:pPr>
        <w:tabs>
          <w:tab w:val="left" w:pos="945"/>
          <w:tab w:val="left" w:pos="210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本项目是/否向采购人缴纳履约保证金：</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p>
    <w:p w14:paraId="32AC1546">
      <w:pPr>
        <w:tabs>
          <w:tab w:val="left" w:pos="945"/>
          <w:tab w:val="left" w:pos="210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履约保证金缴纳金额：</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元。</w:t>
      </w:r>
    </w:p>
    <w:p w14:paraId="69975A79">
      <w:pPr>
        <w:tabs>
          <w:tab w:val="left" w:pos="945"/>
          <w:tab w:val="left" w:pos="210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履约保证金的缴纳时间：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，缴纳形式：</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w:t>
      </w:r>
    </w:p>
    <w:p w14:paraId="2A118815">
      <w:pPr>
        <w:tabs>
          <w:tab w:val="left" w:pos="945"/>
          <w:tab w:val="left" w:pos="210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履约保证金的退付时间：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，退付办法：</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w:t>
      </w:r>
    </w:p>
    <w:p w14:paraId="54F0E8C7">
      <w:pPr>
        <w:tabs>
          <w:tab w:val="left" w:pos="945"/>
          <w:tab w:val="left" w:pos="2100"/>
        </w:tabs>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履约保证金不予退还的情形：</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w:t>
      </w:r>
    </w:p>
    <w:p w14:paraId="47AE11D0">
      <w:pPr>
        <w:tabs>
          <w:tab w:val="left" w:pos="945"/>
          <w:tab w:val="left" w:pos="2100"/>
        </w:tabs>
        <w:spacing w:line="400" w:lineRule="exact"/>
        <w:ind w:firstLine="480" w:firstLineChars="200"/>
        <w:rPr>
          <w:rFonts w:ascii="宋体" w:hAnsi="Times New Roman" w:eastAsia="宋体" w:cs="Times New Roman"/>
          <w:bCs/>
          <w:sz w:val="24"/>
          <w:szCs w:val="24"/>
          <w:highlight w:val="none"/>
        </w:rPr>
      </w:pPr>
      <w:r>
        <w:rPr>
          <w:rFonts w:hint="eastAsia" w:ascii="宋体" w:hAnsi="宋体" w:eastAsia="宋体" w:cs="Times New Roman"/>
          <w:bCs/>
          <w:sz w:val="24"/>
          <w:szCs w:val="24"/>
          <w:highlight w:val="none"/>
        </w:rPr>
        <w:t>逾期退还履约保证金的违约责任：</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w:t>
      </w:r>
    </w:p>
    <w:p w14:paraId="5123C416">
      <w:pPr>
        <w:autoSpaceDE w:val="0"/>
        <w:autoSpaceDN w:val="0"/>
        <w:adjustRightInd w:val="0"/>
        <w:spacing w:line="400" w:lineRule="exact"/>
        <w:rPr>
          <w:rFonts w:ascii="黑体" w:hAnsi="黑体" w:eastAsia="黑体" w:cs="Times New Roman"/>
          <w:sz w:val="24"/>
          <w:szCs w:val="24"/>
          <w:highlight w:val="none"/>
          <w:lang w:val="zh-CN"/>
        </w:rPr>
      </w:pPr>
      <w:r>
        <w:rPr>
          <w:rFonts w:hint="eastAsia" w:ascii="黑体" w:hAnsi="黑体" w:eastAsia="黑体" w:cs="Times New Roman"/>
          <w:bCs/>
          <w:sz w:val="24"/>
          <w:szCs w:val="24"/>
          <w:highlight w:val="none"/>
          <w:lang w:val="zh-CN"/>
        </w:rPr>
        <w:t>第四条　组成本合同的有关文件</w:t>
      </w:r>
    </w:p>
    <w:p w14:paraId="6BCAF456">
      <w:pPr>
        <w:autoSpaceDE w:val="0"/>
        <w:autoSpaceDN w:val="0"/>
        <w:adjustRightInd w:val="0"/>
        <w:spacing w:line="400" w:lineRule="exact"/>
        <w:ind w:firstLine="480" w:firstLineChars="200"/>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下列关于本次采购活动方式相适应的文件及有关附件是本合同不可分割的组成部分，与本合同具有同等法律效力，这些文件包括但不限于：</w:t>
      </w:r>
    </w:p>
    <w:p w14:paraId="13E72A0F">
      <w:pPr>
        <w:autoSpaceDE w:val="0"/>
        <w:autoSpaceDN w:val="0"/>
        <w:adjustRightInd w:val="0"/>
        <w:spacing w:line="400" w:lineRule="exact"/>
        <w:ind w:firstLine="480" w:firstLineChars="200"/>
        <w:jc w:val="left"/>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（1）招标文件；</w:t>
      </w:r>
    </w:p>
    <w:p w14:paraId="70D69A42">
      <w:pPr>
        <w:autoSpaceDE w:val="0"/>
        <w:autoSpaceDN w:val="0"/>
        <w:adjustRightInd w:val="0"/>
        <w:spacing w:line="400" w:lineRule="exact"/>
        <w:ind w:firstLine="480" w:firstLineChars="200"/>
        <w:jc w:val="left"/>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（2）投标文件；</w:t>
      </w:r>
    </w:p>
    <w:p w14:paraId="2312386A">
      <w:pPr>
        <w:autoSpaceDE w:val="0"/>
        <w:autoSpaceDN w:val="0"/>
        <w:adjustRightInd w:val="0"/>
        <w:spacing w:line="400" w:lineRule="exact"/>
        <w:ind w:firstLine="480" w:firstLineChars="200"/>
        <w:jc w:val="left"/>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（3）中标通知书；</w:t>
      </w:r>
    </w:p>
    <w:p w14:paraId="20C9B43A">
      <w:pPr>
        <w:autoSpaceDE w:val="0"/>
        <w:autoSpaceDN w:val="0"/>
        <w:adjustRightInd w:val="0"/>
        <w:spacing w:line="400" w:lineRule="exact"/>
        <w:ind w:firstLine="480" w:firstLineChars="200"/>
        <w:jc w:val="left"/>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（4）中标人在投标、评标过程中所作其它有关承诺、声明、书面澄清；</w:t>
      </w:r>
    </w:p>
    <w:p w14:paraId="3A74B920">
      <w:pPr>
        <w:autoSpaceDE w:val="0"/>
        <w:autoSpaceDN w:val="0"/>
        <w:adjustRightInd w:val="0"/>
        <w:spacing w:line="400" w:lineRule="exact"/>
        <w:ind w:firstLine="480" w:firstLineChars="200"/>
        <w:jc w:val="left"/>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（5）甲乙双方商定的其他文件等。</w:t>
      </w:r>
    </w:p>
    <w:p w14:paraId="6B94819F">
      <w:pPr>
        <w:autoSpaceDE w:val="0"/>
        <w:autoSpaceDN w:val="0"/>
        <w:adjustRightInd w:val="0"/>
        <w:spacing w:line="400" w:lineRule="exact"/>
        <w:jc w:val="left"/>
        <w:rPr>
          <w:rFonts w:ascii="黑体" w:hAnsi="黑体" w:eastAsia="黑体" w:cs="Times New Roman"/>
          <w:bCs/>
          <w:sz w:val="24"/>
          <w:szCs w:val="24"/>
          <w:highlight w:val="none"/>
          <w:lang w:val="zh-CN"/>
        </w:rPr>
      </w:pPr>
      <w:r>
        <w:rPr>
          <w:rFonts w:hint="eastAsia" w:ascii="黑体" w:hAnsi="黑体" w:eastAsia="黑体" w:cs="Times New Roman"/>
          <w:bCs/>
          <w:sz w:val="24"/>
          <w:szCs w:val="24"/>
          <w:highlight w:val="none"/>
          <w:lang w:val="zh-CN"/>
        </w:rPr>
        <w:t>第五条　权利保证</w:t>
      </w:r>
    </w:p>
    <w:p w14:paraId="4374243B">
      <w:pPr>
        <w:autoSpaceDE w:val="0"/>
        <w:autoSpaceDN w:val="0"/>
        <w:adjustRightInd w:val="0"/>
        <w:spacing w:line="400" w:lineRule="exact"/>
        <w:ind w:firstLine="480" w:firstLineChars="200"/>
        <w:jc w:val="left"/>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乙方应保证甲方在合同履行期限内不受第三方提出侵犯其专利权、版权、商标权或其他权利的起诉。一旦出现侵权，乙方应承担全部责任。</w:t>
      </w:r>
    </w:p>
    <w:p w14:paraId="5D36257F">
      <w:pPr>
        <w:autoSpaceDE w:val="0"/>
        <w:autoSpaceDN w:val="0"/>
        <w:adjustRightInd w:val="0"/>
        <w:spacing w:line="400" w:lineRule="exact"/>
        <w:jc w:val="left"/>
        <w:rPr>
          <w:rFonts w:ascii="黑体" w:hAnsi="黑体" w:eastAsia="黑体" w:cs="Times New Roman"/>
          <w:bCs/>
          <w:sz w:val="24"/>
          <w:szCs w:val="24"/>
          <w:highlight w:val="none"/>
          <w:lang w:val="zh-CN"/>
        </w:rPr>
      </w:pPr>
      <w:r>
        <w:rPr>
          <w:rFonts w:hint="eastAsia" w:ascii="黑体" w:hAnsi="黑体" w:eastAsia="黑体" w:cs="Times New Roman"/>
          <w:bCs/>
          <w:sz w:val="24"/>
          <w:szCs w:val="24"/>
          <w:highlight w:val="none"/>
          <w:lang w:val="zh-CN"/>
        </w:rPr>
        <w:t>第六条 质量保证和售后服务</w:t>
      </w:r>
    </w:p>
    <w:p w14:paraId="4C27A55F">
      <w:pPr>
        <w:autoSpaceDE w:val="0"/>
        <w:autoSpaceDN w:val="0"/>
        <w:adjustRightInd w:val="0"/>
        <w:spacing w:line="400" w:lineRule="exact"/>
        <w:ind w:firstLine="480" w:firstLineChars="200"/>
        <w:jc w:val="lef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1、乙方应按招标文件规定的服务要求、技术要求、质量标准向甲方提供服务。</w:t>
      </w:r>
    </w:p>
    <w:p w14:paraId="0C3638C2">
      <w:pPr>
        <w:autoSpaceDE w:val="0"/>
        <w:autoSpaceDN w:val="0"/>
        <w:adjustRightInd w:val="0"/>
        <w:spacing w:line="400" w:lineRule="exact"/>
        <w:ind w:firstLine="480" w:firstLineChars="200"/>
        <w:jc w:val="left"/>
        <w:rPr>
          <w:rFonts w:ascii="宋体" w:hAnsi="宋体" w:eastAsia="宋体" w:cs="Times New Roman"/>
          <w:bCs/>
          <w:sz w:val="24"/>
          <w:szCs w:val="24"/>
          <w:highlight w:val="none"/>
          <w:u w:val="single"/>
          <w:lang w:val="zh-CN"/>
        </w:rPr>
      </w:pPr>
      <w:r>
        <w:rPr>
          <w:rFonts w:hint="eastAsia" w:ascii="宋体" w:hAnsi="宋体" w:eastAsia="宋体" w:cs="Times New Roman"/>
          <w:bCs/>
          <w:sz w:val="24"/>
          <w:szCs w:val="24"/>
          <w:highlight w:val="none"/>
          <w:lang w:val="zh-CN"/>
        </w:rPr>
        <w:t>2、质量保证：</w:t>
      </w:r>
      <w:r>
        <w:rPr>
          <w:rFonts w:hint="eastAsia" w:ascii="宋体" w:hAnsi="宋体" w:eastAsia="宋体" w:cs="Times New Roman"/>
          <w:bCs/>
          <w:sz w:val="24"/>
          <w:szCs w:val="24"/>
          <w:highlight w:val="none"/>
          <w:u w:val="single"/>
          <w:lang w:val="zh-CN"/>
        </w:rPr>
        <w:t>　　　　　　　　　　　　　　　　　　　　　　　　　　</w:t>
      </w:r>
    </w:p>
    <w:p w14:paraId="6A181CCA">
      <w:pPr>
        <w:autoSpaceDE w:val="0"/>
        <w:autoSpaceDN w:val="0"/>
        <w:adjustRightInd w:val="0"/>
        <w:spacing w:line="400" w:lineRule="exact"/>
        <w:ind w:firstLine="480" w:firstLineChars="200"/>
        <w:jc w:val="left"/>
        <w:rPr>
          <w:rFonts w:ascii="宋体" w:hAnsi="宋体" w:eastAsia="宋体" w:cs="Times New Roman"/>
          <w:bCs/>
          <w:sz w:val="24"/>
          <w:szCs w:val="24"/>
          <w:highlight w:val="none"/>
          <w:u w:val="single"/>
          <w:lang w:val="zh-CN"/>
        </w:rPr>
      </w:pPr>
      <w:r>
        <w:rPr>
          <w:rFonts w:hint="eastAsia" w:ascii="宋体" w:hAnsi="宋体" w:eastAsia="宋体" w:cs="Times New Roman"/>
          <w:bCs/>
          <w:sz w:val="24"/>
          <w:szCs w:val="24"/>
          <w:highlight w:val="none"/>
          <w:lang w:val="zh-CN"/>
        </w:rPr>
        <w:t>3、售后服务：</w:t>
      </w:r>
      <w:r>
        <w:rPr>
          <w:rFonts w:hint="eastAsia" w:ascii="宋体" w:hAnsi="宋体" w:eastAsia="宋体" w:cs="Times New Roman"/>
          <w:bCs/>
          <w:sz w:val="24"/>
          <w:szCs w:val="24"/>
          <w:highlight w:val="none"/>
          <w:u w:val="single"/>
          <w:lang w:val="zh-CN"/>
        </w:rPr>
        <w:t>　　　　　　　　　　　　　　　　　　　　　　　　　　</w:t>
      </w:r>
    </w:p>
    <w:p w14:paraId="69586D90">
      <w:pPr>
        <w:autoSpaceDE w:val="0"/>
        <w:autoSpaceDN w:val="0"/>
        <w:adjustRightInd w:val="0"/>
        <w:spacing w:line="400" w:lineRule="exact"/>
        <w:jc w:val="left"/>
        <w:rPr>
          <w:rFonts w:ascii="黑体" w:hAnsi="黑体" w:eastAsia="黑体" w:cs="Times New Roman"/>
          <w:bCs/>
          <w:sz w:val="24"/>
          <w:szCs w:val="24"/>
          <w:highlight w:val="none"/>
          <w:lang w:val="zh-CN"/>
        </w:rPr>
      </w:pPr>
      <w:r>
        <w:rPr>
          <w:rFonts w:hint="eastAsia" w:ascii="黑体" w:hAnsi="黑体" w:eastAsia="黑体" w:cs="Times New Roman"/>
          <w:bCs/>
          <w:sz w:val="24"/>
          <w:szCs w:val="24"/>
          <w:highlight w:val="none"/>
          <w:lang w:val="zh-CN"/>
        </w:rPr>
        <w:t>第七条　验收</w:t>
      </w:r>
    </w:p>
    <w:p w14:paraId="5F80040A">
      <w:pPr>
        <w:autoSpaceDE w:val="0"/>
        <w:autoSpaceDN w:val="0"/>
        <w:adjustRightInd w:val="0"/>
        <w:spacing w:line="400" w:lineRule="exact"/>
        <w:ind w:firstLine="480" w:firstLineChars="200"/>
        <w:jc w:val="left"/>
        <w:rPr>
          <w:rFonts w:ascii="宋体" w:hAnsi="宋体" w:eastAsia="宋体" w:cs="Times New Roman"/>
          <w:sz w:val="24"/>
          <w:szCs w:val="24"/>
          <w:highlight w:val="none"/>
        </w:rPr>
      </w:pPr>
      <w:r>
        <w:rPr>
          <w:rFonts w:hint="eastAsia" w:ascii="宋体" w:hAnsi="宋体" w:eastAsia="宋体" w:cs="Times New Roman"/>
          <w:bCs/>
          <w:sz w:val="24"/>
          <w:szCs w:val="24"/>
          <w:highlight w:val="none"/>
          <w:lang w:val="zh-CN"/>
        </w:rPr>
        <w:t>验收标准：</w:t>
      </w:r>
      <w:r>
        <w:rPr>
          <w:rFonts w:hint="eastAsia" w:ascii="宋体" w:hAnsi="宋体" w:eastAsia="宋体" w:cs="Times New Roman"/>
          <w:sz w:val="24"/>
          <w:szCs w:val="24"/>
          <w:highlight w:val="none"/>
          <w:lang w:val="zh-CN"/>
        </w:rPr>
        <w:t>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highlight w:val="none"/>
          <w:u w:val="single"/>
          <w:lang w:val="zh-CN"/>
        </w:rPr>
        <w:t xml:space="preserve">             </w:t>
      </w:r>
      <w:r>
        <w:rPr>
          <w:rFonts w:hint="eastAsia" w:ascii="宋体" w:hAnsi="宋体" w:eastAsia="宋体" w:cs="Times New Roman"/>
          <w:sz w:val="24"/>
          <w:szCs w:val="24"/>
          <w:highlight w:val="none"/>
          <w:lang w:val="zh-CN"/>
        </w:rPr>
        <w:t>承担。</w:t>
      </w:r>
    </w:p>
    <w:p w14:paraId="5D47D72C">
      <w:pPr>
        <w:autoSpaceDE w:val="0"/>
        <w:autoSpaceDN w:val="0"/>
        <w:adjustRightInd w:val="0"/>
        <w:spacing w:line="400" w:lineRule="exact"/>
        <w:jc w:val="left"/>
        <w:rPr>
          <w:rFonts w:ascii="黑体" w:hAnsi="黑体" w:eastAsia="黑体" w:cs="Times New Roman"/>
          <w:bCs/>
          <w:i/>
          <w:iCs/>
          <w:sz w:val="24"/>
          <w:szCs w:val="24"/>
          <w:highlight w:val="none"/>
          <w:lang w:val="zh-CN"/>
        </w:rPr>
      </w:pPr>
      <w:r>
        <w:rPr>
          <w:rFonts w:hint="eastAsia" w:ascii="黑体" w:hAnsi="黑体" w:eastAsia="黑体" w:cs="Times New Roman"/>
          <w:bCs/>
          <w:sz w:val="24"/>
          <w:szCs w:val="24"/>
          <w:highlight w:val="none"/>
          <w:lang w:val="zh-CN"/>
        </w:rPr>
        <w:t>第八条　付款</w:t>
      </w:r>
    </w:p>
    <w:p w14:paraId="3BC67697">
      <w:pPr>
        <w:autoSpaceDE w:val="0"/>
        <w:autoSpaceDN w:val="0"/>
        <w:adjustRightInd w:val="0"/>
        <w:spacing w:line="400" w:lineRule="exact"/>
        <w:ind w:firstLine="420"/>
        <w:jc w:val="left"/>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1、本合同项下所有款项均以人民币支付，乙方向甲方开具发票。</w:t>
      </w:r>
    </w:p>
    <w:p w14:paraId="09C1EED2">
      <w:pPr>
        <w:autoSpaceDE w:val="0"/>
        <w:autoSpaceDN w:val="0"/>
        <w:adjustRightInd w:val="0"/>
        <w:spacing w:line="400" w:lineRule="exact"/>
        <w:ind w:firstLine="420"/>
        <w:jc w:val="left"/>
        <w:rPr>
          <w:rFonts w:ascii="宋体" w:hAnsi="宋体" w:eastAsia="宋体" w:cs="Times New Roman"/>
          <w:sz w:val="24"/>
          <w:szCs w:val="24"/>
          <w:highlight w:val="none"/>
          <w:u w:val="single"/>
        </w:rPr>
      </w:pPr>
      <w:r>
        <w:rPr>
          <w:rFonts w:hint="eastAsia" w:ascii="宋体" w:hAnsi="宋体" w:eastAsia="宋体" w:cs="Times New Roman"/>
          <w:sz w:val="24"/>
          <w:szCs w:val="24"/>
          <w:highlight w:val="none"/>
          <w:lang w:val="zh-CN"/>
        </w:rPr>
        <w:t>2、付款方式：</w:t>
      </w:r>
      <w:r>
        <w:rPr>
          <w:rFonts w:hint="eastAsia" w:ascii="宋体" w:hAnsi="宋体" w:eastAsia="宋体" w:cs="Times New Roman"/>
          <w:sz w:val="24"/>
          <w:szCs w:val="24"/>
          <w:highlight w:val="none"/>
          <w:u w:val="single"/>
          <w:lang w:val="zh-CN"/>
        </w:rPr>
        <w:t>　　　　　　　　　　　　　　　　　　　</w:t>
      </w:r>
    </w:p>
    <w:p w14:paraId="24532E2D">
      <w:pPr>
        <w:autoSpaceDE w:val="0"/>
        <w:autoSpaceDN w:val="0"/>
        <w:adjustRightInd w:val="0"/>
        <w:spacing w:line="400" w:lineRule="exact"/>
        <w:jc w:val="left"/>
        <w:rPr>
          <w:rFonts w:ascii="黑体" w:hAnsi="黑体" w:eastAsia="黑体" w:cs="Times New Roman"/>
          <w:bCs/>
          <w:sz w:val="24"/>
          <w:szCs w:val="24"/>
          <w:highlight w:val="none"/>
          <w:lang w:val="zh-CN"/>
        </w:rPr>
      </w:pPr>
      <w:r>
        <w:rPr>
          <w:rFonts w:hint="eastAsia" w:ascii="黑体" w:hAnsi="黑体" w:eastAsia="黑体" w:cs="Times New Roman"/>
          <w:bCs/>
          <w:sz w:val="24"/>
          <w:szCs w:val="24"/>
          <w:highlight w:val="none"/>
          <w:lang w:val="zh-CN"/>
        </w:rPr>
        <w:t>第九条　违约责任</w:t>
      </w:r>
    </w:p>
    <w:p w14:paraId="374191B2">
      <w:pPr>
        <w:widowControl/>
        <w:adjustRightInd w:val="0"/>
        <w:spacing w:line="400" w:lineRule="exact"/>
        <w:ind w:firstLine="480" w:firstLineChars="200"/>
        <w:jc w:val="left"/>
        <w:rPr>
          <w:rFonts w:ascii="宋体" w:hAnsi="宋体" w:eastAsia="宋体" w:cs="Times New Roman"/>
          <w:sz w:val="24"/>
          <w:szCs w:val="24"/>
          <w:highlight w:val="none"/>
          <w:u w:val="single"/>
          <w:lang w:val="zh-CN"/>
        </w:rPr>
      </w:pPr>
      <w:r>
        <w:rPr>
          <w:rFonts w:hint="eastAsia" w:ascii="宋体" w:hAnsi="宋体" w:eastAsia="宋体" w:cs="宋体"/>
          <w:kern w:val="0"/>
          <w:sz w:val="24"/>
          <w:szCs w:val="24"/>
          <w:highlight w:val="none"/>
          <w:lang w:val="zh-CN"/>
        </w:rPr>
        <w:t>1、</w:t>
      </w:r>
      <w:r>
        <w:rPr>
          <w:rFonts w:hint="eastAsia" w:ascii="宋体" w:hAnsi="宋体" w:eastAsia="宋体" w:cs="Times New Roman"/>
          <w:sz w:val="24"/>
          <w:szCs w:val="24"/>
          <w:highlight w:val="none"/>
          <w:u w:val="single"/>
          <w:lang w:val="zh-CN"/>
        </w:rPr>
        <w:t xml:space="preserve">                                                                    </w:t>
      </w:r>
    </w:p>
    <w:p w14:paraId="075FA144">
      <w:pPr>
        <w:widowControl/>
        <w:adjustRightInd w:val="0"/>
        <w:spacing w:line="400" w:lineRule="exact"/>
        <w:ind w:firstLine="480" w:firstLineChars="200"/>
        <w:jc w:val="left"/>
        <w:rPr>
          <w:rFonts w:ascii="宋体" w:hAnsi="宋体" w:eastAsia="宋体" w:cs="Times New Roman"/>
          <w:sz w:val="24"/>
          <w:szCs w:val="24"/>
          <w:highlight w:val="none"/>
          <w:u w:val="single"/>
          <w:lang w:val="zh-CN"/>
        </w:rPr>
      </w:pPr>
      <w:r>
        <w:rPr>
          <w:rFonts w:hint="eastAsia" w:ascii="宋体" w:hAnsi="宋体" w:eastAsia="宋体" w:cs="宋体"/>
          <w:kern w:val="0"/>
          <w:sz w:val="24"/>
          <w:szCs w:val="24"/>
          <w:highlight w:val="none"/>
          <w:lang w:val="zh-CN"/>
        </w:rPr>
        <w:t>2、</w:t>
      </w:r>
      <w:r>
        <w:rPr>
          <w:rFonts w:hint="eastAsia" w:ascii="宋体" w:hAnsi="宋体" w:eastAsia="宋体" w:cs="Times New Roman"/>
          <w:sz w:val="24"/>
          <w:szCs w:val="24"/>
          <w:highlight w:val="none"/>
          <w:u w:val="single"/>
          <w:lang w:val="zh-CN"/>
        </w:rPr>
        <w:t xml:space="preserve">                                                                    </w:t>
      </w:r>
    </w:p>
    <w:p w14:paraId="20702B2F">
      <w:pPr>
        <w:widowControl/>
        <w:adjustRightInd w:val="0"/>
        <w:spacing w:line="400" w:lineRule="exact"/>
        <w:ind w:firstLine="480" w:firstLineChars="200"/>
        <w:jc w:val="left"/>
        <w:rPr>
          <w:rFonts w:ascii="宋体" w:hAnsi="宋体" w:eastAsia="宋体" w:cs="Times New Roman"/>
          <w:sz w:val="24"/>
          <w:szCs w:val="24"/>
          <w:highlight w:val="none"/>
          <w:u w:val="single"/>
          <w:lang w:val="zh-CN"/>
        </w:rPr>
      </w:pPr>
      <w:r>
        <w:rPr>
          <w:rFonts w:hint="eastAsia" w:ascii="宋体" w:hAnsi="宋体" w:eastAsia="宋体" w:cs="宋体"/>
          <w:kern w:val="0"/>
          <w:sz w:val="24"/>
          <w:szCs w:val="24"/>
          <w:highlight w:val="none"/>
          <w:lang w:val="zh-CN"/>
        </w:rPr>
        <w:t>3、</w:t>
      </w:r>
      <w:r>
        <w:rPr>
          <w:rFonts w:hint="eastAsia" w:ascii="宋体" w:hAnsi="宋体" w:eastAsia="宋体" w:cs="Times New Roman"/>
          <w:sz w:val="24"/>
          <w:szCs w:val="24"/>
          <w:highlight w:val="none"/>
          <w:u w:val="single"/>
          <w:lang w:val="zh-CN"/>
        </w:rPr>
        <w:t xml:space="preserve">                                                                    </w:t>
      </w:r>
    </w:p>
    <w:p w14:paraId="1BE4A918">
      <w:pPr>
        <w:widowControl/>
        <w:adjustRightInd w:val="0"/>
        <w:spacing w:line="400" w:lineRule="exact"/>
        <w:ind w:firstLine="480" w:firstLineChars="200"/>
        <w:jc w:val="left"/>
        <w:rPr>
          <w:rFonts w:ascii="宋体" w:hAnsi="宋体" w:eastAsia="宋体" w:cs="Times New Roman"/>
          <w:sz w:val="24"/>
          <w:szCs w:val="24"/>
          <w:highlight w:val="none"/>
          <w:u w:val="single"/>
          <w:lang w:val="zh-CN"/>
        </w:rPr>
      </w:pPr>
      <w:r>
        <w:rPr>
          <w:rFonts w:hint="eastAsia" w:ascii="宋体" w:hAnsi="宋体" w:eastAsia="宋体" w:cs="宋体"/>
          <w:kern w:val="0"/>
          <w:sz w:val="24"/>
          <w:szCs w:val="24"/>
          <w:highlight w:val="none"/>
          <w:lang w:val="zh-CN"/>
        </w:rPr>
        <w:t>4、</w:t>
      </w:r>
      <w:r>
        <w:rPr>
          <w:rFonts w:hint="eastAsia" w:ascii="宋体" w:hAnsi="宋体" w:eastAsia="宋体" w:cs="Times New Roman"/>
          <w:sz w:val="24"/>
          <w:szCs w:val="24"/>
          <w:highlight w:val="none"/>
          <w:u w:val="single"/>
          <w:lang w:val="zh-CN"/>
        </w:rPr>
        <w:t xml:space="preserve">                                                                    </w:t>
      </w:r>
    </w:p>
    <w:p w14:paraId="2FA44E79">
      <w:pPr>
        <w:widowControl/>
        <w:adjustRightInd w:val="0"/>
        <w:spacing w:line="400" w:lineRule="exact"/>
        <w:ind w:firstLine="480" w:firstLineChars="200"/>
        <w:jc w:val="left"/>
        <w:rPr>
          <w:rFonts w:ascii="宋体" w:hAnsi="宋体" w:eastAsia="宋体" w:cs="Times New Roman"/>
          <w:sz w:val="24"/>
          <w:szCs w:val="24"/>
          <w:highlight w:val="none"/>
          <w:u w:val="single"/>
          <w:lang w:val="zh-CN"/>
        </w:rPr>
      </w:pPr>
      <w:r>
        <w:rPr>
          <w:rFonts w:hint="eastAsia" w:ascii="宋体" w:hAnsi="宋体" w:eastAsia="宋体" w:cs="宋体"/>
          <w:kern w:val="0"/>
          <w:sz w:val="24"/>
          <w:szCs w:val="24"/>
          <w:highlight w:val="none"/>
          <w:lang w:val="zh-CN"/>
        </w:rPr>
        <w:t>5、</w:t>
      </w:r>
      <w:r>
        <w:rPr>
          <w:rFonts w:hint="eastAsia" w:ascii="宋体" w:hAnsi="宋体" w:eastAsia="宋体" w:cs="Times New Roman"/>
          <w:sz w:val="24"/>
          <w:szCs w:val="24"/>
          <w:highlight w:val="none"/>
          <w:u w:val="single"/>
          <w:lang w:val="zh-CN"/>
        </w:rPr>
        <w:t xml:space="preserve">                                                                    </w:t>
      </w:r>
    </w:p>
    <w:p w14:paraId="40238BDC">
      <w:pPr>
        <w:widowControl/>
        <w:adjustRightInd w:val="0"/>
        <w:spacing w:line="400" w:lineRule="exact"/>
        <w:jc w:val="left"/>
        <w:rPr>
          <w:rFonts w:ascii="黑体" w:hAnsi="黑体" w:eastAsia="黑体" w:cs="宋体"/>
          <w:bCs/>
          <w:kern w:val="0"/>
          <w:sz w:val="24"/>
          <w:szCs w:val="24"/>
          <w:highlight w:val="none"/>
        </w:rPr>
      </w:pPr>
      <w:r>
        <w:rPr>
          <w:rFonts w:hint="eastAsia" w:ascii="黑体" w:hAnsi="黑体" w:eastAsia="黑体" w:cs="宋体"/>
          <w:bCs/>
          <w:kern w:val="0"/>
          <w:sz w:val="24"/>
          <w:szCs w:val="24"/>
          <w:highlight w:val="none"/>
          <w:lang w:val="zh-CN"/>
        </w:rPr>
        <w:t>第十条　</w:t>
      </w:r>
      <w:r>
        <w:rPr>
          <w:rFonts w:hint="eastAsia" w:ascii="黑体" w:hAnsi="黑体" w:eastAsia="黑体" w:cs="宋体"/>
          <w:bCs/>
          <w:kern w:val="0"/>
          <w:sz w:val="24"/>
          <w:szCs w:val="24"/>
          <w:highlight w:val="none"/>
        </w:rPr>
        <w:t>不可抗力</w:t>
      </w:r>
    </w:p>
    <w:p w14:paraId="3CDD583A">
      <w:pPr>
        <w:widowControl/>
        <w:adjustRightInd w:val="0"/>
        <w:spacing w:line="400" w:lineRule="exact"/>
        <w:ind w:firstLine="480" w:firstLineChars="200"/>
        <w:jc w:val="left"/>
        <w:rPr>
          <w:rFonts w:ascii="宋体" w:hAnsi="宋体" w:eastAsia="宋体" w:cs="宋体"/>
          <w:bCs/>
          <w:kern w:val="0"/>
          <w:sz w:val="24"/>
          <w:szCs w:val="24"/>
          <w:highlight w:val="none"/>
        </w:rPr>
      </w:pPr>
      <w:r>
        <w:rPr>
          <w:rFonts w:hint="eastAsia" w:ascii="宋体" w:hAnsi="宋体" w:eastAsia="宋体" w:cs="宋体"/>
          <w:bCs/>
          <w:kern w:val="0"/>
          <w:sz w:val="24"/>
          <w:szCs w:val="24"/>
          <w:highlight w:val="none"/>
        </w:rPr>
        <w:t>1、不可抗力，是指不能预见、不能避免并不能克服的客观情况，如战争、动乱、瘟疫、严重火灾、洪水、地震、风暴或其他自然灾害等。</w:t>
      </w:r>
    </w:p>
    <w:p w14:paraId="128449E7">
      <w:pPr>
        <w:widowControl/>
        <w:adjustRightInd w:val="0"/>
        <w:spacing w:line="400" w:lineRule="exact"/>
        <w:ind w:firstLine="480" w:firstLineChars="200"/>
        <w:jc w:val="left"/>
        <w:rPr>
          <w:rFonts w:ascii="宋体" w:hAnsi="宋体" w:eastAsia="宋体" w:cs="宋体"/>
          <w:bCs/>
          <w:kern w:val="0"/>
          <w:sz w:val="24"/>
          <w:szCs w:val="24"/>
          <w:highlight w:val="none"/>
        </w:rPr>
      </w:pPr>
      <w:r>
        <w:rPr>
          <w:rFonts w:hint="eastAsia" w:ascii="宋体" w:hAnsi="宋体" w:eastAsia="宋体" w:cs="宋体"/>
          <w:bCs/>
          <w:kern w:val="0"/>
          <w:sz w:val="24"/>
          <w:szCs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81035B2">
      <w:pPr>
        <w:widowControl/>
        <w:adjustRightInd w:val="0"/>
        <w:spacing w:line="400" w:lineRule="exact"/>
        <w:ind w:firstLine="480" w:firstLineChars="200"/>
        <w:jc w:val="left"/>
        <w:rPr>
          <w:rFonts w:ascii="宋体" w:hAnsi="宋体" w:eastAsia="宋体" w:cs="宋体"/>
          <w:bCs/>
          <w:kern w:val="0"/>
          <w:sz w:val="24"/>
          <w:szCs w:val="24"/>
          <w:highlight w:val="none"/>
        </w:rPr>
      </w:pPr>
      <w:r>
        <w:rPr>
          <w:rFonts w:hint="eastAsia" w:ascii="宋体" w:hAnsi="宋体" w:eastAsia="宋体" w:cs="宋体"/>
          <w:bCs/>
          <w:kern w:val="0"/>
          <w:sz w:val="24"/>
          <w:szCs w:val="24"/>
          <w:highlight w:val="none"/>
        </w:rPr>
        <w:t>3、发生不可抗力事件，任何一方均不对因不可抗力无法履行或迟延履行本合同义务而使另一方蒙受的任何损失承担责任，法律另有规定的除外。</w:t>
      </w:r>
    </w:p>
    <w:p w14:paraId="25CCA182">
      <w:pPr>
        <w:widowControl/>
        <w:adjustRightInd w:val="0"/>
        <w:spacing w:line="400" w:lineRule="exact"/>
        <w:ind w:firstLine="480" w:firstLineChars="200"/>
        <w:jc w:val="left"/>
        <w:rPr>
          <w:rFonts w:ascii="宋体" w:hAnsi="宋体" w:eastAsia="宋体" w:cs="宋体"/>
          <w:bCs/>
          <w:kern w:val="0"/>
          <w:sz w:val="24"/>
          <w:szCs w:val="24"/>
          <w:highlight w:val="none"/>
        </w:rPr>
      </w:pPr>
      <w:r>
        <w:rPr>
          <w:rFonts w:hint="eastAsia" w:ascii="宋体" w:hAnsi="宋体" w:eastAsia="宋体" w:cs="宋体"/>
          <w:bCs/>
          <w:kern w:val="0"/>
          <w:sz w:val="24"/>
          <w:szCs w:val="24"/>
          <w:highlight w:val="none"/>
        </w:rPr>
        <w:t>4、合同各方应根据不可抗力对本合同履行的影响程度，协商确定是否终止本合同或是继续履行本合同。</w:t>
      </w:r>
    </w:p>
    <w:p w14:paraId="11777841">
      <w:pPr>
        <w:widowControl/>
        <w:adjustRightInd w:val="0"/>
        <w:spacing w:line="400" w:lineRule="exact"/>
        <w:jc w:val="left"/>
        <w:rPr>
          <w:rFonts w:ascii="黑体" w:hAnsi="黑体" w:eastAsia="黑体" w:cs="宋体"/>
          <w:bCs/>
          <w:kern w:val="0"/>
          <w:sz w:val="24"/>
          <w:szCs w:val="24"/>
          <w:highlight w:val="none"/>
          <w:lang w:val="zh-CN"/>
        </w:rPr>
      </w:pPr>
      <w:r>
        <w:rPr>
          <w:rFonts w:hint="eastAsia" w:ascii="黑体" w:hAnsi="黑体" w:eastAsia="黑体" w:cs="宋体"/>
          <w:kern w:val="0"/>
          <w:sz w:val="24"/>
          <w:szCs w:val="24"/>
          <w:highlight w:val="none"/>
        </w:rPr>
        <w:t>第十一条　</w:t>
      </w:r>
      <w:r>
        <w:rPr>
          <w:rFonts w:hint="eastAsia" w:ascii="黑体" w:hAnsi="黑体" w:eastAsia="黑体" w:cs="宋体"/>
          <w:bCs/>
          <w:kern w:val="0"/>
          <w:sz w:val="24"/>
          <w:szCs w:val="24"/>
          <w:highlight w:val="none"/>
          <w:lang w:val="zh-CN"/>
        </w:rPr>
        <w:t>合同的变更和终止</w:t>
      </w:r>
    </w:p>
    <w:p w14:paraId="016A6D4F">
      <w:pPr>
        <w:widowControl/>
        <w:adjustRightInd w:val="0"/>
        <w:spacing w:line="400" w:lineRule="exact"/>
        <w:ind w:firstLine="480" w:firstLineChars="200"/>
        <w:jc w:val="left"/>
        <w:rPr>
          <w:rFonts w:ascii="宋体" w:hAnsi="宋体" w:eastAsia="宋体" w:cs="宋体"/>
          <w:kern w:val="0"/>
          <w:sz w:val="24"/>
          <w:szCs w:val="24"/>
          <w:highlight w:val="none"/>
          <w:lang w:val="zh-CN"/>
        </w:rPr>
      </w:pPr>
      <w:r>
        <w:rPr>
          <w:rFonts w:hint="eastAsia" w:ascii="宋体" w:hAnsi="宋体" w:eastAsia="宋体" w:cs="Times New Roman"/>
          <w:kern w:val="0"/>
          <w:sz w:val="24"/>
          <w:szCs w:val="24"/>
          <w:highlight w:val="none"/>
          <w:lang w:val="zh-CN"/>
        </w:rPr>
        <w:t>1</w:t>
      </w:r>
      <w:r>
        <w:rPr>
          <w:rFonts w:hint="eastAsia" w:ascii="宋体" w:hAnsi="宋体" w:eastAsia="宋体" w:cs="宋体"/>
          <w:kern w:val="0"/>
          <w:sz w:val="24"/>
          <w:szCs w:val="24"/>
          <w:highlight w:val="none"/>
          <w:lang w:val="zh-CN"/>
        </w:rPr>
        <w:t>、除《政府采购法》第</w:t>
      </w:r>
      <w:r>
        <w:rPr>
          <w:rFonts w:hint="eastAsia" w:ascii="宋体" w:hAnsi="宋体" w:eastAsia="宋体" w:cs="Times New Roman"/>
          <w:kern w:val="0"/>
          <w:sz w:val="24"/>
          <w:szCs w:val="24"/>
          <w:highlight w:val="none"/>
          <w:lang w:val="zh-CN"/>
        </w:rPr>
        <w:t>五十</w:t>
      </w:r>
      <w:r>
        <w:rPr>
          <w:rFonts w:hint="eastAsia" w:ascii="宋体" w:hAnsi="宋体" w:eastAsia="宋体" w:cs="宋体"/>
          <w:kern w:val="0"/>
          <w:sz w:val="24"/>
          <w:szCs w:val="24"/>
          <w:highlight w:val="none"/>
          <w:lang w:val="zh-CN"/>
        </w:rPr>
        <w:t>条规定的情形外，本合同一经签订，甲乙双方不得擅自变更、中止或终止合同。</w:t>
      </w:r>
    </w:p>
    <w:p w14:paraId="2D1F3F92">
      <w:pPr>
        <w:widowControl/>
        <w:adjustRightInd w:val="0"/>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Times New Roman"/>
          <w:kern w:val="0"/>
          <w:sz w:val="24"/>
          <w:szCs w:val="24"/>
          <w:highlight w:val="none"/>
          <w:lang w:val="zh-CN"/>
        </w:rPr>
        <w:t>2</w:t>
      </w: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rPr>
        <w:t>除发生法律规定的不能预见、不能避免并不能克服的客观情况外，甲乙双方不得放弃或拒绝履行合同。</w:t>
      </w:r>
    </w:p>
    <w:p w14:paraId="76EB87CE">
      <w:pPr>
        <w:widowControl/>
        <w:adjustRightInd w:val="0"/>
        <w:spacing w:line="400" w:lineRule="exact"/>
        <w:jc w:val="left"/>
        <w:rPr>
          <w:rFonts w:ascii="黑体" w:hAnsi="黑体" w:eastAsia="黑体" w:cs="宋体"/>
          <w:kern w:val="0"/>
          <w:sz w:val="24"/>
          <w:szCs w:val="24"/>
          <w:highlight w:val="none"/>
        </w:rPr>
      </w:pPr>
      <w:r>
        <w:rPr>
          <w:rFonts w:hint="eastAsia" w:ascii="黑体" w:hAnsi="黑体" w:eastAsia="黑体" w:cs="宋体"/>
          <w:kern w:val="0"/>
          <w:sz w:val="24"/>
          <w:szCs w:val="24"/>
          <w:highlight w:val="none"/>
        </w:rPr>
        <w:t>第十二条  合同的终止</w:t>
      </w:r>
    </w:p>
    <w:p w14:paraId="06FC262E">
      <w:pPr>
        <w:widowControl/>
        <w:adjustRightInd w:val="0"/>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本合同因下列原因而终止：</w:t>
      </w:r>
    </w:p>
    <w:p w14:paraId="4654E297">
      <w:pPr>
        <w:widowControl/>
        <w:adjustRightInd w:val="0"/>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（1）本合同正常履行完毕；</w:t>
      </w:r>
    </w:p>
    <w:p w14:paraId="189C76B8">
      <w:pPr>
        <w:widowControl/>
        <w:adjustRightInd w:val="0"/>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（2）因不可抗力导致本合同无法履行或履行不必要；</w:t>
      </w:r>
    </w:p>
    <w:p w14:paraId="4E839E14">
      <w:pPr>
        <w:widowControl/>
        <w:adjustRightInd w:val="0"/>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（3）任何一方行使解除权解除本合同；</w:t>
      </w:r>
    </w:p>
    <w:p w14:paraId="76E64F8A">
      <w:pPr>
        <w:widowControl/>
        <w:adjustRightInd w:val="0"/>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（4）合同的继续履行将损害国家利益和社会公共利益。</w:t>
      </w:r>
    </w:p>
    <w:p w14:paraId="7B34944E">
      <w:pPr>
        <w:widowControl/>
        <w:adjustRightInd w:val="0"/>
        <w:spacing w:line="4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除上述情形外，甲乙双方不得擅自终止合同。</w:t>
      </w:r>
    </w:p>
    <w:p w14:paraId="4622DF02">
      <w:pPr>
        <w:widowControl/>
        <w:adjustRightInd w:val="0"/>
        <w:spacing w:line="400" w:lineRule="exact"/>
        <w:jc w:val="left"/>
        <w:rPr>
          <w:rFonts w:ascii="黑体" w:hAnsi="黑体" w:eastAsia="黑体" w:cs="宋体"/>
          <w:bCs/>
          <w:kern w:val="0"/>
          <w:sz w:val="24"/>
          <w:szCs w:val="24"/>
          <w:highlight w:val="none"/>
          <w:lang w:val="zh-CN"/>
        </w:rPr>
      </w:pPr>
      <w:r>
        <w:rPr>
          <w:rFonts w:hint="eastAsia" w:ascii="黑体" w:hAnsi="黑体" w:eastAsia="黑体" w:cs="宋体"/>
          <w:bCs/>
          <w:kern w:val="0"/>
          <w:sz w:val="24"/>
          <w:szCs w:val="24"/>
          <w:highlight w:val="none"/>
          <w:lang w:val="zh-CN"/>
        </w:rPr>
        <w:t>第十三条　争议的解决</w:t>
      </w:r>
    </w:p>
    <w:p w14:paraId="6B9CF9B1">
      <w:pPr>
        <w:widowControl/>
        <w:adjustRightInd w:val="0"/>
        <w:spacing w:line="400" w:lineRule="exact"/>
        <w:ind w:firstLine="480" w:firstLineChars="200"/>
        <w:jc w:val="left"/>
        <w:rPr>
          <w:rFonts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73896C53">
      <w:pPr>
        <w:widowControl/>
        <w:adjustRightInd w:val="0"/>
        <w:spacing w:line="400" w:lineRule="exact"/>
        <w:ind w:firstLine="480" w:firstLineChars="200"/>
        <w:jc w:val="left"/>
        <w:rPr>
          <w:rFonts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2、因履行本合同引起的或与本合同有关的争议，甲、乙双方应首先通过友好协商解决，如果协商不能解决争议，则采取以下2种方式解决争议：</w:t>
      </w:r>
    </w:p>
    <w:p w14:paraId="43400AA6">
      <w:pPr>
        <w:widowControl/>
        <w:adjustRightInd w:val="0"/>
        <w:spacing w:line="400" w:lineRule="exact"/>
        <w:ind w:firstLine="480" w:firstLineChars="200"/>
        <w:jc w:val="left"/>
        <w:rPr>
          <w:rFonts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（1）向甲方所在地有管辖权的人民法院提起诉讼；</w:t>
      </w:r>
    </w:p>
    <w:p w14:paraId="5ED07C8D">
      <w:pPr>
        <w:widowControl/>
        <w:adjustRightInd w:val="0"/>
        <w:spacing w:line="400" w:lineRule="exact"/>
        <w:ind w:firstLine="480" w:firstLineChars="200"/>
        <w:jc w:val="left"/>
        <w:rPr>
          <w:rFonts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（2）向甲方所在地仲裁委员会按其仲裁规则申请仲裁。</w:t>
      </w:r>
    </w:p>
    <w:p w14:paraId="02402C13">
      <w:pPr>
        <w:widowControl/>
        <w:adjustRightInd w:val="0"/>
        <w:spacing w:line="400" w:lineRule="exact"/>
        <w:ind w:firstLine="420"/>
        <w:jc w:val="left"/>
        <w:rPr>
          <w:rFonts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3、在仲裁期间，本合同应继续履行。</w:t>
      </w:r>
    </w:p>
    <w:p w14:paraId="3DFD55E6">
      <w:pPr>
        <w:widowControl/>
        <w:adjustRightInd w:val="0"/>
        <w:spacing w:line="400" w:lineRule="exact"/>
        <w:jc w:val="left"/>
        <w:rPr>
          <w:rFonts w:ascii="黑体" w:hAnsi="黑体" w:eastAsia="黑体" w:cs="宋体"/>
          <w:bCs/>
          <w:kern w:val="0"/>
          <w:sz w:val="24"/>
          <w:szCs w:val="24"/>
          <w:highlight w:val="none"/>
          <w:lang w:val="zh-CN"/>
        </w:rPr>
      </w:pPr>
      <w:r>
        <w:rPr>
          <w:rFonts w:hint="eastAsia" w:ascii="黑体" w:hAnsi="黑体" w:eastAsia="黑体" w:cs="宋体"/>
          <w:bCs/>
          <w:kern w:val="0"/>
          <w:sz w:val="24"/>
          <w:szCs w:val="24"/>
          <w:highlight w:val="none"/>
          <w:lang w:val="zh-CN"/>
        </w:rPr>
        <w:t>第十四条　合同生效及其他</w:t>
      </w:r>
    </w:p>
    <w:p w14:paraId="37B99CC2">
      <w:pPr>
        <w:widowControl/>
        <w:adjustRightInd w:val="0"/>
        <w:spacing w:line="400" w:lineRule="exact"/>
        <w:ind w:firstLine="42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lang w:val="zh-CN"/>
        </w:rPr>
        <w:t>1、</w:t>
      </w:r>
      <w:r>
        <w:rPr>
          <w:rFonts w:hint="eastAsia" w:ascii="宋体" w:hAnsi="宋体" w:eastAsia="宋体" w:cs="宋体"/>
          <w:kern w:val="0"/>
          <w:sz w:val="24"/>
          <w:szCs w:val="24"/>
          <w:highlight w:val="none"/>
        </w:rPr>
        <w:t>本合同由甲乙双方签字、盖章后生效。</w:t>
      </w:r>
    </w:p>
    <w:p w14:paraId="69A6F9D1">
      <w:pPr>
        <w:widowControl/>
        <w:adjustRightInd w:val="0"/>
        <w:spacing w:line="400" w:lineRule="exact"/>
        <w:ind w:firstLine="420"/>
        <w:jc w:val="left"/>
        <w:rPr>
          <w:rFonts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2、本合同一式四份，甲方、乙方、江阴市政府采购中心、江阴市财政局政府采购管理科各执一份。</w:t>
      </w:r>
    </w:p>
    <w:p w14:paraId="4379EF8D">
      <w:pPr>
        <w:widowControl/>
        <w:adjustRightInd w:val="0"/>
        <w:spacing w:line="400" w:lineRule="exact"/>
        <w:ind w:firstLine="420"/>
        <w:jc w:val="left"/>
        <w:rPr>
          <w:rFonts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3、本合同应按照中华人民共和国的现行法律进行解释。</w:t>
      </w:r>
    </w:p>
    <w:p w14:paraId="1517ABB5">
      <w:pPr>
        <w:spacing w:line="400" w:lineRule="exact"/>
        <w:rPr>
          <w:rFonts w:ascii="Times New Roman" w:hAnsi="Times New Roman" w:eastAsia="宋体" w:cs="Times New Roman"/>
          <w:sz w:val="24"/>
          <w:szCs w:val="24"/>
          <w:highlight w:val="none"/>
        </w:rPr>
      </w:pPr>
    </w:p>
    <w:p w14:paraId="50A2CF1F">
      <w:pPr>
        <w:spacing w:line="400" w:lineRule="exact"/>
        <w:jc w:val="center"/>
        <w:rPr>
          <w:rFonts w:ascii="楷体_GB2312" w:hAnsi="Times New Roman" w:eastAsia="楷体_GB2312" w:cs="Times New Roman"/>
          <w:b/>
          <w:bCs/>
          <w:sz w:val="30"/>
          <w:szCs w:val="24"/>
          <w:highlight w:val="none"/>
        </w:rPr>
      </w:pPr>
    </w:p>
    <w:tbl>
      <w:tblPr>
        <w:tblStyle w:val="32"/>
        <w:tblW w:w="9356" w:type="dxa"/>
        <w:jc w:val="center"/>
        <w:tblLayout w:type="fixed"/>
        <w:tblCellMar>
          <w:top w:w="0" w:type="dxa"/>
          <w:left w:w="108" w:type="dxa"/>
          <w:bottom w:w="0" w:type="dxa"/>
          <w:right w:w="108" w:type="dxa"/>
        </w:tblCellMar>
      </w:tblPr>
      <w:tblGrid>
        <w:gridCol w:w="4536"/>
        <w:gridCol w:w="284"/>
        <w:gridCol w:w="4536"/>
      </w:tblGrid>
      <w:tr w14:paraId="0A96980D">
        <w:tblPrEx>
          <w:tblCellMar>
            <w:top w:w="0" w:type="dxa"/>
            <w:left w:w="108" w:type="dxa"/>
            <w:bottom w:w="0" w:type="dxa"/>
            <w:right w:w="108" w:type="dxa"/>
          </w:tblCellMar>
        </w:tblPrEx>
        <w:trPr>
          <w:jc w:val="center"/>
        </w:trPr>
        <w:tc>
          <w:tcPr>
            <w:tcW w:w="4536" w:type="dxa"/>
          </w:tcPr>
          <w:p w14:paraId="421B10A4">
            <w:pPr>
              <w:spacing w:line="36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甲方（采购单位）：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（盖章）</w:t>
            </w:r>
          </w:p>
        </w:tc>
        <w:tc>
          <w:tcPr>
            <w:tcW w:w="284" w:type="dxa"/>
          </w:tcPr>
          <w:p w14:paraId="5B4B2615">
            <w:pPr>
              <w:spacing w:line="360" w:lineRule="exact"/>
              <w:rPr>
                <w:rFonts w:ascii="宋体" w:hAnsi="宋体" w:eastAsia="宋体" w:cs="Times New Roman"/>
                <w:sz w:val="24"/>
                <w:szCs w:val="24"/>
                <w:highlight w:val="none"/>
              </w:rPr>
            </w:pPr>
          </w:p>
        </w:tc>
        <w:tc>
          <w:tcPr>
            <w:tcW w:w="4536" w:type="dxa"/>
          </w:tcPr>
          <w:p w14:paraId="7C83EE91">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乙方（中标单位）：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（盖章）</w:t>
            </w:r>
          </w:p>
        </w:tc>
      </w:tr>
      <w:tr w14:paraId="72052943">
        <w:tblPrEx>
          <w:tblCellMar>
            <w:top w:w="0" w:type="dxa"/>
            <w:left w:w="108" w:type="dxa"/>
            <w:bottom w:w="0" w:type="dxa"/>
            <w:right w:w="108" w:type="dxa"/>
          </w:tblCellMar>
        </w:tblPrEx>
        <w:trPr>
          <w:jc w:val="center"/>
        </w:trPr>
        <w:tc>
          <w:tcPr>
            <w:tcW w:w="4536" w:type="dxa"/>
          </w:tcPr>
          <w:p w14:paraId="3494D5AA">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地址：</w:t>
            </w:r>
            <w:r>
              <w:rPr>
                <w:rFonts w:hint="eastAsia" w:ascii="宋体" w:hAnsi="宋体" w:eastAsia="宋体" w:cs="Times New Roman"/>
                <w:bCs/>
                <w:sz w:val="24"/>
                <w:szCs w:val="24"/>
                <w:highlight w:val="none"/>
                <w:u w:val="single"/>
              </w:rPr>
              <w:t>　　　　　　　　　　　　　　　</w:t>
            </w:r>
          </w:p>
        </w:tc>
        <w:tc>
          <w:tcPr>
            <w:tcW w:w="284" w:type="dxa"/>
          </w:tcPr>
          <w:p w14:paraId="3E052E87">
            <w:pPr>
              <w:spacing w:line="360" w:lineRule="exact"/>
              <w:rPr>
                <w:rFonts w:ascii="宋体" w:hAnsi="宋体" w:eastAsia="宋体" w:cs="Times New Roman"/>
                <w:sz w:val="24"/>
                <w:szCs w:val="24"/>
                <w:highlight w:val="none"/>
              </w:rPr>
            </w:pPr>
          </w:p>
        </w:tc>
        <w:tc>
          <w:tcPr>
            <w:tcW w:w="4536" w:type="dxa"/>
          </w:tcPr>
          <w:p w14:paraId="62747259">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地址：</w:t>
            </w:r>
            <w:r>
              <w:rPr>
                <w:rFonts w:hint="eastAsia" w:ascii="宋体" w:hAnsi="宋体" w:eastAsia="宋体" w:cs="Times New Roman"/>
                <w:bCs/>
                <w:sz w:val="24"/>
                <w:szCs w:val="24"/>
                <w:highlight w:val="none"/>
                <w:u w:val="single"/>
              </w:rPr>
              <w:t>　　　　　　　　　　　　　　　</w:t>
            </w:r>
          </w:p>
        </w:tc>
      </w:tr>
      <w:tr w14:paraId="17D065DE">
        <w:tblPrEx>
          <w:tblCellMar>
            <w:top w:w="0" w:type="dxa"/>
            <w:left w:w="108" w:type="dxa"/>
            <w:bottom w:w="0" w:type="dxa"/>
            <w:right w:w="108" w:type="dxa"/>
          </w:tblCellMar>
        </w:tblPrEx>
        <w:trPr>
          <w:jc w:val="center"/>
        </w:trPr>
        <w:tc>
          <w:tcPr>
            <w:tcW w:w="4536" w:type="dxa"/>
          </w:tcPr>
          <w:p w14:paraId="4983C7B5">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法定（授权）代表人：</w:t>
            </w:r>
          </w:p>
        </w:tc>
        <w:tc>
          <w:tcPr>
            <w:tcW w:w="284" w:type="dxa"/>
          </w:tcPr>
          <w:p w14:paraId="4646A393">
            <w:pPr>
              <w:spacing w:line="360" w:lineRule="exact"/>
              <w:rPr>
                <w:rFonts w:ascii="宋体" w:hAnsi="宋体" w:eastAsia="宋体" w:cs="Times New Roman"/>
                <w:sz w:val="24"/>
                <w:szCs w:val="24"/>
                <w:highlight w:val="none"/>
              </w:rPr>
            </w:pPr>
          </w:p>
        </w:tc>
        <w:tc>
          <w:tcPr>
            <w:tcW w:w="4536" w:type="dxa"/>
          </w:tcPr>
          <w:p w14:paraId="705D4D68">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法定（授权）代表人：</w:t>
            </w:r>
          </w:p>
        </w:tc>
      </w:tr>
      <w:tr w14:paraId="52E28C6A">
        <w:tblPrEx>
          <w:tblCellMar>
            <w:top w:w="0" w:type="dxa"/>
            <w:left w:w="108" w:type="dxa"/>
            <w:bottom w:w="0" w:type="dxa"/>
            <w:right w:w="108" w:type="dxa"/>
          </w:tblCellMar>
        </w:tblPrEx>
        <w:trPr>
          <w:jc w:val="center"/>
        </w:trPr>
        <w:tc>
          <w:tcPr>
            <w:tcW w:w="4536" w:type="dxa"/>
          </w:tcPr>
          <w:p w14:paraId="509EA72C">
            <w:pPr>
              <w:spacing w:line="360" w:lineRule="exact"/>
              <w:jc w:val="righ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年</w:t>
            </w: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月</w:t>
            </w: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日</w:t>
            </w:r>
          </w:p>
        </w:tc>
        <w:tc>
          <w:tcPr>
            <w:tcW w:w="284" w:type="dxa"/>
          </w:tcPr>
          <w:p w14:paraId="073FC997">
            <w:pPr>
              <w:spacing w:line="360" w:lineRule="exact"/>
              <w:rPr>
                <w:rFonts w:ascii="宋体" w:hAnsi="宋体" w:eastAsia="宋体" w:cs="Times New Roman"/>
                <w:sz w:val="24"/>
                <w:szCs w:val="24"/>
                <w:highlight w:val="none"/>
              </w:rPr>
            </w:pPr>
          </w:p>
        </w:tc>
        <w:tc>
          <w:tcPr>
            <w:tcW w:w="4536" w:type="dxa"/>
          </w:tcPr>
          <w:p w14:paraId="66F46CC3">
            <w:pPr>
              <w:spacing w:line="360" w:lineRule="exact"/>
              <w:jc w:val="righ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年</w:t>
            </w: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月</w:t>
            </w: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日</w:t>
            </w:r>
          </w:p>
        </w:tc>
      </w:tr>
      <w:bookmarkEnd w:id="15"/>
    </w:tbl>
    <w:p w14:paraId="6CC2715D">
      <w:pPr>
        <w:pStyle w:val="28"/>
        <w:rPr>
          <w:highlight w:val="none"/>
        </w:rPr>
        <w:sectPr>
          <w:pgSz w:w="11906" w:h="16838"/>
          <w:pgMar w:top="1247" w:right="1247" w:bottom="1247" w:left="1247" w:header="680" w:footer="992" w:gutter="0"/>
          <w:pgNumType w:fmt="numberInDash"/>
          <w:cols w:space="720" w:num="1"/>
          <w:docGrid w:linePitch="312" w:charSpace="0"/>
        </w:sectPr>
      </w:pPr>
    </w:p>
    <w:p w14:paraId="384437DD">
      <w:pPr>
        <w:pStyle w:val="28"/>
        <w:rPr>
          <w:highlight w:val="none"/>
        </w:rPr>
      </w:pPr>
    </w:p>
    <w:p w14:paraId="682811E8">
      <w:pPr>
        <w:pStyle w:val="28"/>
        <w:rPr>
          <w:highlight w:val="none"/>
        </w:rPr>
      </w:pPr>
      <w:bookmarkStart w:id="16" w:name="_Toc213847318"/>
      <w:r>
        <w:rPr>
          <w:rFonts w:hint="eastAsia"/>
          <w:highlight w:val="none"/>
        </w:rPr>
        <w:t>第六章　投标文件的组成和格式</w:t>
      </w:r>
      <w:bookmarkEnd w:id="16"/>
    </w:p>
    <w:p w14:paraId="21C21498">
      <w:pPr>
        <w:jc w:val="center"/>
        <w:rPr>
          <w:rFonts w:ascii="宋体" w:hAnsi="宋体" w:eastAsia="宋体" w:cs="Times New Roman"/>
          <w:b/>
          <w:bCs/>
          <w:spacing w:val="20"/>
          <w:sz w:val="72"/>
          <w:szCs w:val="72"/>
          <w:highlight w:val="none"/>
        </w:rPr>
      </w:pPr>
    </w:p>
    <w:p w14:paraId="46D069D0">
      <w:pPr>
        <w:jc w:val="center"/>
        <w:rPr>
          <w:rFonts w:ascii="宋体" w:hAnsi="宋体" w:eastAsia="宋体" w:cs="Times New Roman"/>
          <w:b/>
          <w:bCs/>
          <w:spacing w:val="20"/>
          <w:sz w:val="72"/>
          <w:szCs w:val="72"/>
          <w:highlight w:val="none"/>
        </w:rPr>
      </w:pPr>
    </w:p>
    <w:p w14:paraId="68359C68">
      <w:pPr>
        <w:jc w:val="center"/>
        <w:rPr>
          <w:rFonts w:ascii="宋体" w:hAnsi="宋体" w:eastAsia="宋体" w:cs="Times New Roman"/>
          <w:bCs/>
          <w:spacing w:val="20"/>
          <w:sz w:val="72"/>
          <w:szCs w:val="72"/>
          <w:highlight w:val="none"/>
        </w:rPr>
      </w:pPr>
      <w:r>
        <w:rPr>
          <w:rFonts w:hint="eastAsia" w:ascii="宋体" w:hAnsi="宋体" w:eastAsia="宋体" w:cs="Times New Roman"/>
          <w:bCs/>
          <w:spacing w:val="20"/>
          <w:sz w:val="72"/>
          <w:szCs w:val="72"/>
          <w:highlight w:val="none"/>
        </w:rPr>
        <w:t>投</w:t>
      </w:r>
    </w:p>
    <w:p w14:paraId="16695D40">
      <w:pPr>
        <w:jc w:val="center"/>
        <w:rPr>
          <w:rFonts w:ascii="宋体" w:hAnsi="宋体" w:eastAsia="宋体" w:cs="Times New Roman"/>
          <w:bCs/>
          <w:spacing w:val="20"/>
          <w:sz w:val="72"/>
          <w:szCs w:val="72"/>
          <w:highlight w:val="none"/>
        </w:rPr>
      </w:pPr>
    </w:p>
    <w:p w14:paraId="794B9001">
      <w:pPr>
        <w:jc w:val="center"/>
        <w:rPr>
          <w:rFonts w:ascii="宋体" w:hAnsi="宋体" w:eastAsia="宋体" w:cs="Times New Roman"/>
          <w:bCs/>
          <w:spacing w:val="20"/>
          <w:sz w:val="72"/>
          <w:szCs w:val="72"/>
          <w:highlight w:val="none"/>
        </w:rPr>
      </w:pPr>
      <w:r>
        <w:rPr>
          <w:rFonts w:hint="eastAsia" w:ascii="宋体" w:hAnsi="宋体" w:eastAsia="宋体" w:cs="Times New Roman"/>
          <w:bCs/>
          <w:spacing w:val="20"/>
          <w:sz w:val="72"/>
          <w:szCs w:val="72"/>
          <w:highlight w:val="none"/>
        </w:rPr>
        <w:t>标</w:t>
      </w:r>
    </w:p>
    <w:p w14:paraId="4E1EE14F">
      <w:pPr>
        <w:jc w:val="center"/>
        <w:rPr>
          <w:rFonts w:ascii="宋体" w:hAnsi="宋体" w:eastAsia="宋体" w:cs="Times New Roman"/>
          <w:bCs/>
          <w:spacing w:val="20"/>
          <w:sz w:val="72"/>
          <w:szCs w:val="72"/>
          <w:highlight w:val="none"/>
        </w:rPr>
      </w:pPr>
    </w:p>
    <w:p w14:paraId="1DAC117C">
      <w:pPr>
        <w:jc w:val="center"/>
        <w:rPr>
          <w:rFonts w:ascii="宋体" w:hAnsi="宋体" w:eastAsia="宋体" w:cs="Times New Roman"/>
          <w:bCs/>
          <w:spacing w:val="20"/>
          <w:sz w:val="72"/>
          <w:szCs w:val="72"/>
          <w:highlight w:val="none"/>
        </w:rPr>
      </w:pPr>
      <w:r>
        <w:rPr>
          <w:rFonts w:hint="eastAsia" w:ascii="宋体" w:hAnsi="宋体" w:eastAsia="宋体" w:cs="Times New Roman"/>
          <w:bCs/>
          <w:spacing w:val="20"/>
          <w:sz w:val="72"/>
          <w:szCs w:val="72"/>
          <w:highlight w:val="none"/>
        </w:rPr>
        <w:t>书</w:t>
      </w:r>
    </w:p>
    <w:p w14:paraId="67CFB048">
      <w:pPr>
        <w:jc w:val="center"/>
        <w:rPr>
          <w:rFonts w:ascii="宋体" w:hAnsi="宋体" w:eastAsia="宋体" w:cs="Times New Roman"/>
          <w:b/>
          <w:bCs/>
          <w:spacing w:val="20"/>
          <w:sz w:val="72"/>
          <w:szCs w:val="72"/>
          <w:highlight w:val="none"/>
        </w:rPr>
      </w:pPr>
    </w:p>
    <w:p w14:paraId="5888E308">
      <w:pPr>
        <w:jc w:val="center"/>
        <w:rPr>
          <w:rFonts w:ascii="宋体" w:hAnsi="宋体" w:eastAsia="宋体" w:cs="Times New Roman"/>
          <w:b/>
          <w:bCs/>
          <w:spacing w:val="20"/>
          <w:sz w:val="72"/>
          <w:szCs w:val="72"/>
          <w:highlight w:val="none"/>
        </w:rPr>
      </w:pPr>
    </w:p>
    <w:p w14:paraId="30BA4645">
      <w:pPr>
        <w:spacing w:line="600" w:lineRule="exact"/>
        <w:ind w:left="2245" w:leftChars="426" w:hanging="1350" w:hangingChars="450"/>
        <w:rPr>
          <w:rFonts w:ascii="宋体" w:hAnsi="宋体" w:eastAsia="宋体" w:cs="Times New Roman"/>
          <w:sz w:val="30"/>
          <w:szCs w:val="30"/>
          <w:highlight w:val="none"/>
          <w:u w:val="single"/>
        </w:rPr>
      </w:pPr>
      <w:r>
        <w:rPr>
          <w:rFonts w:hint="eastAsia" w:ascii="宋体" w:hAnsi="宋体" w:eastAsia="宋体" w:cs="Times New Roman"/>
          <w:bCs/>
          <w:sz w:val="30"/>
          <w:szCs w:val="30"/>
          <w:highlight w:val="none"/>
        </w:rPr>
        <w:t>项目名称：</w:t>
      </w:r>
      <w:r>
        <w:rPr>
          <w:rFonts w:hint="eastAsia" w:ascii="宋体" w:hAnsi="宋体" w:eastAsia="宋体" w:cs="Times New Roman"/>
          <w:sz w:val="30"/>
          <w:szCs w:val="30"/>
          <w:highlight w:val="none"/>
          <w:u w:val="single"/>
        </w:rPr>
        <w:t xml:space="preserve">                                  </w:t>
      </w:r>
    </w:p>
    <w:p w14:paraId="096C9190">
      <w:pPr>
        <w:spacing w:line="600" w:lineRule="exact"/>
        <w:ind w:firstLine="900" w:firstLineChars="300"/>
        <w:rPr>
          <w:rFonts w:ascii="宋体" w:hAnsi="宋体" w:eastAsia="宋体" w:cs="Times New Roman"/>
          <w:bCs/>
          <w:sz w:val="30"/>
          <w:szCs w:val="24"/>
          <w:highlight w:val="none"/>
        </w:rPr>
      </w:pPr>
      <w:r>
        <w:rPr>
          <w:rFonts w:hint="eastAsia" w:ascii="宋体" w:hAnsi="宋体" w:eastAsia="宋体" w:cs="Times New Roman"/>
          <w:bCs/>
          <w:sz w:val="30"/>
          <w:szCs w:val="24"/>
          <w:highlight w:val="none"/>
        </w:rPr>
        <w:t>项目编号：</w:t>
      </w:r>
      <w:r>
        <w:rPr>
          <w:rFonts w:hint="eastAsia" w:ascii="宋体" w:hAnsi="宋体" w:eastAsia="宋体" w:cs="Times New Roman"/>
          <w:bCs/>
          <w:sz w:val="30"/>
          <w:szCs w:val="24"/>
          <w:highlight w:val="none"/>
          <w:u w:val="single"/>
        </w:rPr>
        <w:t xml:space="preserve">                                  </w:t>
      </w:r>
    </w:p>
    <w:p w14:paraId="4777A828">
      <w:pPr>
        <w:spacing w:line="600" w:lineRule="exact"/>
        <w:ind w:firstLine="900" w:firstLineChars="300"/>
        <w:rPr>
          <w:rFonts w:ascii="宋体" w:hAnsi="宋体" w:eastAsia="宋体" w:cs="Times New Roman"/>
          <w:bCs/>
          <w:sz w:val="30"/>
          <w:szCs w:val="24"/>
          <w:highlight w:val="none"/>
          <w:u w:val="single"/>
        </w:rPr>
      </w:pPr>
      <w:r>
        <w:rPr>
          <w:rFonts w:hint="eastAsia" w:ascii="宋体" w:hAnsi="宋体" w:eastAsia="宋体" w:cs="Times New Roman"/>
          <w:bCs/>
          <w:sz w:val="30"/>
          <w:szCs w:val="24"/>
          <w:highlight w:val="none"/>
        </w:rPr>
        <w:t>投标单位：</w:t>
      </w:r>
      <w:r>
        <w:rPr>
          <w:rFonts w:hint="eastAsia" w:ascii="宋体" w:hAnsi="宋体" w:eastAsia="宋体" w:cs="Times New Roman"/>
          <w:bCs/>
          <w:sz w:val="30"/>
          <w:szCs w:val="24"/>
          <w:highlight w:val="none"/>
          <w:u w:val="single"/>
        </w:rPr>
        <w:t xml:space="preserve">                                  </w:t>
      </w:r>
    </w:p>
    <w:p w14:paraId="21A87AE5">
      <w:pPr>
        <w:widowControl/>
        <w:spacing w:line="600" w:lineRule="exact"/>
        <w:jc w:val="left"/>
        <w:rPr>
          <w:rFonts w:ascii="Times New Roman" w:hAnsi="Times New Roman" w:eastAsia="宋体" w:cs="Times New Roman"/>
          <w:kern w:val="0"/>
          <w:sz w:val="24"/>
          <w:szCs w:val="20"/>
          <w:highlight w:val="none"/>
        </w:rPr>
      </w:pPr>
    </w:p>
    <w:p w14:paraId="3294E797">
      <w:pPr>
        <w:widowControl/>
        <w:spacing w:line="600" w:lineRule="exact"/>
        <w:jc w:val="left"/>
        <w:rPr>
          <w:rFonts w:ascii="Times New Roman" w:hAnsi="Times New Roman" w:eastAsia="宋体" w:cs="Times New Roman"/>
          <w:kern w:val="0"/>
          <w:sz w:val="24"/>
          <w:szCs w:val="20"/>
          <w:highlight w:val="none"/>
        </w:rPr>
      </w:pPr>
    </w:p>
    <w:p w14:paraId="6DF53F6B">
      <w:pPr>
        <w:spacing w:line="600" w:lineRule="exact"/>
        <w:jc w:val="center"/>
        <w:rPr>
          <w:rFonts w:ascii="宋体" w:hAnsi="宋体" w:eastAsia="宋体" w:cs="Times New Roman"/>
          <w:bCs/>
          <w:sz w:val="30"/>
          <w:szCs w:val="24"/>
          <w:highlight w:val="none"/>
        </w:rPr>
      </w:pPr>
      <w:r>
        <w:rPr>
          <w:rFonts w:hint="eastAsia" w:ascii="宋体" w:hAnsi="宋体" w:eastAsia="宋体" w:cs="Times New Roman"/>
          <w:bCs/>
          <w:sz w:val="30"/>
          <w:szCs w:val="24"/>
          <w:highlight w:val="none"/>
        </w:rPr>
        <w:t>二○    年  月  日</w:t>
      </w:r>
    </w:p>
    <w:p w14:paraId="79BF6E7B">
      <w:pPr>
        <w:spacing w:line="600" w:lineRule="exact"/>
        <w:jc w:val="center"/>
        <w:rPr>
          <w:rFonts w:ascii="宋体" w:hAnsi="宋体" w:eastAsia="宋体" w:cs="Times New Roman"/>
          <w:bCs/>
          <w:sz w:val="30"/>
          <w:szCs w:val="24"/>
          <w:highlight w:val="none"/>
        </w:rPr>
        <w:sectPr>
          <w:pgSz w:w="11906" w:h="16838"/>
          <w:pgMar w:top="1247" w:right="1247" w:bottom="1247" w:left="1247" w:header="680" w:footer="992" w:gutter="0"/>
          <w:pgNumType w:fmt="numberInDash"/>
          <w:cols w:space="720" w:num="1"/>
          <w:docGrid w:linePitch="312" w:charSpace="0"/>
        </w:sectPr>
      </w:pPr>
    </w:p>
    <w:p w14:paraId="69E7A6C8">
      <w:pPr>
        <w:spacing w:line="400" w:lineRule="exact"/>
        <w:jc w:val="center"/>
        <w:rPr>
          <w:rFonts w:ascii="黑体" w:hAnsi="宋体" w:eastAsia="黑体" w:cs="Times New Roman"/>
          <w:bCs/>
          <w:sz w:val="28"/>
          <w:szCs w:val="28"/>
          <w:highlight w:val="none"/>
        </w:rPr>
      </w:pPr>
    </w:p>
    <w:p w14:paraId="53EA13B1">
      <w:pPr>
        <w:spacing w:line="400" w:lineRule="exact"/>
        <w:jc w:val="center"/>
        <w:rPr>
          <w:rFonts w:ascii="黑体" w:hAnsi="宋体" w:eastAsia="黑体" w:cs="Times New Roman"/>
          <w:bCs/>
          <w:sz w:val="28"/>
          <w:szCs w:val="28"/>
          <w:highlight w:val="none"/>
        </w:rPr>
      </w:pPr>
      <w:r>
        <w:rPr>
          <w:rFonts w:hint="eastAsia" w:ascii="黑体" w:hAnsi="宋体" w:eastAsia="黑体" w:cs="Times New Roman"/>
          <w:bCs/>
          <w:sz w:val="28"/>
          <w:szCs w:val="28"/>
          <w:highlight w:val="none"/>
        </w:rPr>
        <w:t>一、投标函</w:t>
      </w:r>
    </w:p>
    <w:p w14:paraId="2B6F6EA5">
      <w:pPr>
        <w:spacing w:line="400" w:lineRule="exact"/>
        <w:rPr>
          <w:rFonts w:ascii="宋体" w:hAnsi="宋体" w:eastAsia="宋体" w:cs="Times New Roman"/>
          <w:bCs/>
          <w:sz w:val="24"/>
          <w:szCs w:val="24"/>
          <w:highlight w:val="none"/>
        </w:rPr>
      </w:pPr>
    </w:p>
    <w:p w14:paraId="03FF2CD6">
      <w:pP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致江阴市政府采购中心：</w:t>
      </w:r>
    </w:p>
    <w:p w14:paraId="3C10DA78">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我方收到贵中心</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（项目名称及编号）招标文件，经仔细阅读和研究，我们决定参加此项目的投标。</w:t>
      </w:r>
    </w:p>
    <w:p w14:paraId="48AF0528">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1、愿意按照招标文件的一切要求，参加本项目的投标</w:t>
      </w:r>
      <w:r>
        <w:rPr>
          <w:rFonts w:hint="eastAsia" w:ascii="宋体" w:hAnsi="宋体" w:eastAsia="宋体" w:cs="Times New Roman"/>
          <w:sz w:val="24"/>
          <w:szCs w:val="24"/>
          <w:highlight w:val="none"/>
        </w:rPr>
        <w:t>，</w:t>
      </w:r>
      <w:r>
        <w:rPr>
          <w:rFonts w:hint="eastAsia" w:ascii="宋体" w:hAnsi="宋体" w:eastAsia="宋体" w:cs="Times New Roman"/>
          <w:bCs/>
          <w:sz w:val="24"/>
          <w:szCs w:val="24"/>
          <w:highlight w:val="none"/>
        </w:rPr>
        <w:t>投标报价详见《开标一览表》。</w:t>
      </w:r>
    </w:p>
    <w:p w14:paraId="5B0C6AAD">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2、我方同意按招标文件的规定，本投标文件的投标有效期限为开标后90天。</w:t>
      </w:r>
    </w:p>
    <w:p w14:paraId="5A8EB6CF">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3、我方愿意提供招标文件中要求的原始资料及可能另外要求的与投标有关的任何资料，并保证我方已提供和将要提供的资料是真实的、准确的。</w:t>
      </w:r>
    </w:p>
    <w:p w14:paraId="2EEF5B6B">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4、我方认为你们有权决定中标者。</w:t>
      </w:r>
    </w:p>
    <w:p w14:paraId="7F544EB5">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5、我方愿意遵守《中华人民共和国政府采购法》、</w:t>
      </w:r>
      <w:r>
        <w:rPr>
          <w:rFonts w:hint="eastAsia" w:ascii="宋体" w:hAnsi="宋体" w:eastAsia="宋体" w:cs="Times New Roman"/>
          <w:sz w:val="24"/>
          <w:szCs w:val="24"/>
          <w:highlight w:val="none"/>
        </w:rPr>
        <w:t>《中华人民共和国政府采购法实施条例》</w:t>
      </w:r>
      <w:r>
        <w:rPr>
          <w:rFonts w:hint="eastAsia" w:ascii="宋体" w:hAnsi="宋体" w:eastAsia="宋体" w:cs="Times New Roman"/>
          <w:bCs/>
          <w:sz w:val="24"/>
          <w:szCs w:val="24"/>
          <w:highlight w:val="none"/>
        </w:rPr>
        <w:t xml:space="preserve">，并按《中华人民共和国民法典》、财政部《政府采购货物和服务招标投标管理办法》和合同条款履行自己的全部责任。 </w:t>
      </w:r>
    </w:p>
    <w:p w14:paraId="46BBA0B9">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6、我方认可并遵守采购文件的所有规定，放弃对招标（采购）文件、评标办法、评分细则及配分提出质疑的权利。 </w:t>
      </w:r>
    </w:p>
    <w:p w14:paraId="7D4E3BED">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7、如我们在投标截止期后撤回投标或中标后拒绝遵守投标承诺或拒绝在规定的时间内与采购人签订合同，则将接受相应处罚。</w:t>
      </w:r>
    </w:p>
    <w:p w14:paraId="3F3BE789">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54F82D7B">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9、一旦我方中标，我方将根据招标文件的规定，严格履行合同的责任和义务，保证按期、按质、按量完成项目。</w:t>
      </w:r>
    </w:p>
    <w:p w14:paraId="0233CC98">
      <w:pPr>
        <w:spacing w:line="400" w:lineRule="exact"/>
        <w:ind w:firstLine="480" w:firstLineChars="200"/>
        <w:rPr>
          <w:rFonts w:ascii="宋体" w:hAnsi="宋体" w:eastAsia="宋体" w:cs="Times New Roman"/>
          <w:bCs/>
          <w:sz w:val="24"/>
          <w:szCs w:val="24"/>
          <w:highlight w:val="none"/>
        </w:rPr>
      </w:pPr>
    </w:p>
    <w:p w14:paraId="1FC9066D">
      <w:pPr>
        <w:spacing w:line="400" w:lineRule="exact"/>
        <w:ind w:firstLine="480" w:firstLineChars="200"/>
        <w:rPr>
          <w:rFonts w:ascii="宋体" w:hAnsi="宋体" w:eastAsia="宋体" w:cs="Times New Roman"/>
          <w:bCs/>
          <w:sz w:val="24"/>
          <w:szCs w:val="24"/>
          <w:highlight w:val="none"/>
        </w:rPr>
      </w:pPr>
    </w:p>
    <w:p w14:paraId="63FBF331">
      <w:pPr>
        <w:spacing w:line="400" w:lineRule="exact"/>
        <w:ind w:firstLine="720" w:firstLineChars="3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投标单位（电子签章）：</w:t>
      </w:r>
    </w:p>
    <w:p w14:paraId="708B329E">
      <w:pPr>
        <w:spacing w:line="400" w:lineRule="exact"/>
        <w:ind w:firstLine="720" w:firstLineChars="3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电话：</w:t>
      </w:r>
    </w:p>
    <w:p w14:paraId="7B77056F">
      <w:pPr>
        <w:spacing w:line="400" w:lineRule="exact"/>
        <w:ind w:firstLine="720" w:firstLineChars="3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传真：</w:t>
      </w:r>
    </w:p>
    <w:p w14:paraId="42BACAA8">
      <w:pPr>
        <w:spacing w:line="400" w:lineRule="exact"/>
        <w:ind w:firstLine="720" w:firstLineChars="3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地址：</w:t>
      </w:r>
    </w:p>
    <w:p w14:paraId="0D31F572">
      <w:pPr>
        <w:spacing w:line="400" w:lineRule="exact"/>
        <w:ind w:firstLine="720" w:firstLineChars="3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邮编：</w:t>
      </w:r>
    </w:p>
    <w:p w14:paraId="64B68317">
      <w:pPr>
        <w:spacing w:line="400" w:lineRule="exact"/>
        <w:ind w:firstLine="720" w:firstLineChars="3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电子邮箱：</w:t>
      </w:r>
    </w:p>
    <w:p w14:paraId="2820105C">
      <w:pPr>
        <w:spacing w:line="400" w:lineRule="exact"/>
        <w:jc w:val="center"/>
        <w:rPr>
          <w:rFonts w:ascii="黑体" w:hAnsi="黑体" w:eastAsia="黑体" w:cs="Times New Roman"/>
          <w:sz w:val="28"/>
          <w:szCs w:val="28"/>
          <w:highlight w:val="none"/>
        </w:rPr>
      </w:pPr>
      <w:bookmarkStart w:id="17" w:name="_Toc194739809"/>
      <w:bookmarkStart w:id="18" w:name="_Toc222799676"/>
    </w:p>
    <w:p w14:paraId="497F4CE9">
      <w:pPr>
        <w:spacing w:line="400" w:lineRule="exact"/>
        <w:jc w:val="center"/>
        <w:rPr>
          <w:rFonts w:ascii="黑体" w:hAnsi="黑体" w:eastAsia="黑体" w:cs="Times New Roman"/>
          <w:sz w:val="28"/>
          <w:szCs w:val="28"/>
          <w:highlight w:val="none"/>
        </w:rPr>
        <w:sectPr>
          <w:pgSz w:w="11906" w:h="16838"/>
          <w:pgMar w:top="1247" w:right="1247" w:bottom="1247" w:left="1247" w:header="680" w:footer="992" w:gutter="0"/>
          <w:pgNumType w:fmt="numberInDash"/>
          <w:cols w:space="720" w:num="1"/>
          <w:docGrid w:linePitch="312" w:charSpace="0"/>
        </w:sectPr>
      </w:pPr>
    </w:p>
    <w:p w14:paraId="127CDA90">
      <w:pPr>
        <w:spacing w:line="400" w:lineRule="exact"/>
        <w:jc w:val="center"/>
        <w:rPr>
          <w:rFonts w:ascii="黑体" w:hAnsi="黑体" w:eastAsia="黑体" w:cs="Times New Roman"/>
          <w:sz w:val="28"/>
          <w:szCs w:val="28"/>
          <w:highlight w:val="none"/>
        </w:rPr>
      </w:pPr>
    </w:p>
    <w:p w14:paraId="5FFA72EB">
      <w:pPr>
        <w:spacing w:line="400" w:lineRule="exact"/>
        <w:jc w:val="center"/>
        <w:rPr>
          <w:rFonts w:ascii="黑体" w:hAnsi="黑体" w:eastAsia="黑体" w:cs="Times New Roman"/>
          <w:bCs/>
          <w:sz w:val="28"/>
          <w:szCs w:val="28"/>
          <w:highlight w:val="none"/>
          <w:u w:val="single"/>
        </w:rPr>
      </w:pPr>
      <w:r>
        <w:rPr>
          <w:rFonts w:hint="eastAsia" w:ascii="黑体" w:hAnsi="黑体" w:eastAsia="黑体" w:cs="Times New Roman"/>
          <w:sz w:val="28"/>
          <w:szCs w:val="28"/>
          <w:highlight w:val="none"/>
        </w:rPr>
        <w:t>二、开标一览表</w:t>
      </w:r>
    </w:p>
    <w:p w14:paraId="5A1832CB">
      <w:pPr>
        <w:spacing w:line="400" w:lineRule="exact"/>
        <w:jc w:val="center"/>
        <w:rPr>
          <w:rFonts w:ascii="黑体" w:hAnsi="黑体" w:eastAsia="黑体" w:cs="Times New Roman"/>
          <w:bCs/>
          <w:sz w:val="28"/>
          <w:szCs w:val="28"/>
          <w:highlight w:val="none"/>
          <w:u w:val="single"/>
        </w:rPr>
      </w:pP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6EC2DE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vAlign w:val="center"/>
          </w:tcPr>
          <w:p w14:paraId="2428A724">
            <w:pPr>
              <w:widowControl/>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项目编号</w:t>
            </w:r>
          </w:p>
        </w:tc>
        <w:tc>
          <w:tcPr>
            <w:tcW w:w="7224" w:type="dxa"/>
            <w:vAlign w:val="center"/>
          </w:tcPr>
          <w:p w14:paraId="517956A0">
            <w:pPr>
              <w:widowControl/>
              <w:spacing w:line="400" w:lineRule="exact"/>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JSZC-320281-JZCG-G2026-0026</w:t>
            </w:r>
          </w:p>
        </w:tc>
      </w:tr>
      <w:tr w14:paraId="0F3D05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vAlign w:val="center"/>
          </w:tcPr>
          <w:p w14:paraId="526BFA5F">
            <w:pPr>
              <w:widowControl/>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项目名称</w:t>
            </w:r>
          </w:p>
        </w:tc>
        <w:tc>
          <w:tcPr>
            <w:tcW w:w="7224" w:type="dxa"/>
            <w:vAlign w:val="center"/>
          </w:tcPr>
          <w:p w14:paraId="241C9E16">
            <w:pPr>
              <w:widowControl/>
              <w:spacing w:line="400" w:lineRule="exact"/>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江阴公路泵站智能化提升项目</w:t>
            </w:r>
          </w:p>
        </w:tc>
      </w:tr>
      <w:tr w14:paraId="588DDE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vAlign w:val="center"/>
          </w:tcPr>
          <w:p w14:paraId="2A7304F0">
            <w:pPr>
              <w:widowControl/>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项目报价</w:t>
            </w:r>
          </w:p>
          <w:p w14:paraId="2D72E1A2">
            <w:pPr>
              <w:widowControl/>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（单位：元）</w:t>
            </w:r>
          </w:p>
        </w:tc>
        <w:tc>
          <w:tcPr>
            <w:tcW w:w="7224" w:type="dxa"/>
            <w:vAlign w:val="center"/>
          </w:tcPr>
          <w:p w14:paraId="5F5CFFC1">
            <w:pPr>
              <w:widowControl/>
              <w:spacing w:line="400" w:lineRule="exact"/>
              <w:ind w:firstLine="480" w:firstLineChars="200"/>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以“标书制作客户端一一基本目录一一开标一览表”中</w:t>
            </w:r>
          </w:p>
          <w:p w14:paraId="7CC573E6">
            <w:pPr>
              <w:widowControl/>
              <w:spacing w:line="400" w:lineRule="exact"/>
              <w:ind w:firstLine="480" w:firstLineChars="200"/>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填写的金额为准。</w:t>
            </w:r>
          </w:p>
        </w:tc>
      </w:tr>
    </w:tbl>
    <w:p w14:paraId="12DE9553">
      <w:pPr>
        <w:spacing w:line="400" w:lineRule="exact"/>
        <w:jc w:val="left"/>
        <w:rPr>
          <w:rFonts w:ascii="宋体" w:hAnsi="宋体" w:eastAsia="宋体" w:cs="Times New Roman"/>
          <w:b/>
          <w:sz w:val="24"/>
          <w:szCs w:val="24"/>
          <w:highlight w:val="none"/>
        </w:rPr>
      </w:pPr>
      <w:bookmarkStart w:id="19" w:name="_Toc145474400"/>
      <w:bookmarkStart w:id="20" w:name="_Toc158691780"/>
      <w:bookmarkStart w:id="21" w:name="_Toc194386107"/>
      <w:r>
        <w:rPr>
          <w:rFonts w:hint="eastAsia" w:ascii="宋体" w:hAnsi="宋体" w:eastAsia="宋体" w:cs="Times New Roman"/>
          <w:b/>
          <w:sz w:val="24"/>
          <w:szCs w:val="24"/>
          <w:highlight w:val="none"/>
        </w:rPr>
        <w:t>注:此表格无需填报具体内容，签章上传即可。</w:t>
      </w:r>
    </w:p>
    <w:p w14:paraId="41000AEF">
      <w:pPr>
        <w:spacing w:line="400" w:lineRule="exact"/>
        <w:ind w:firstLine="3600" w:firstLineChars="1500"/>
        <w:jc w:val="left"/>
        <w:rPr>
          <w:rFonts w:ascii="宋体" w:hAnsi="宋体" w:eastAsia="宋体" w:cs="Times New Roman"/>
          <w:bCs/>
          <w:sz w:val="24"/>
          <w:szCs w:val="24"/>
          <w:highlight w:val="none"/>
        </w:rPr>
      </w:pPr>
    </w:p>
    <w:p w14:paraId="46EEF6B5">
      <w:pPr>
        <w:spacing w:line="400" w:lineRule="exact"/>
        <w:ind w:firstLine="3600" w:firstLineChars="1500"/>
        <w:jc w:val="left"/>
        <w:rPr>
          <w:rFonts w:ascii="宋体" w:hAnsi="宋体" w:eastAsia="宋体" w:cs="Times New Roman"/>
          <w:bCs/>
          <w:sz w:val="24"/>
          <w:szCs w:val="24"/>
          <w:highlight w:val="none"/>
        </w:rPr>
      </w:pPr>
    </w:p>
    <w:p w14:paraId="402DE105">
      <w:pPr>
        <w:spacing w:line="400" w:lineRule="exact"/>
        <w:ind w:firstLine="3600" w:firstLineChars="1500"/>
        <w:jc w:val="lef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投标单位（电子签章）：</w:t>
      </w:r>
    </w:p>
    <w:p w14:paraId="15C0BAAA">
      <w:pPr>
        <w:spacing w:line="400" w:lineRule="exact"/>
        <w:ind w:firstLine="3600" w:firstLineChars="1500"/>
        <w:jc w:val="left"/>
        <w:rPr>
          <w:rFonts w:ascii="宋体" w:hAnsi="宋体" w:eastAsia="宋体" w:cs="Times New Roman"/>
          <w:bCs/>
          <w:sz w:val="24"/>
          <w:szCs w:val="24"/>
          <w:highlight w:val="none"/>
        </w:rPr>
      </w:pPr>
    </w:p>
    <w:p w14:paraId="3E325693">
      <w:pPr>
        <w:spacing w:line="400" w:lineRule="exact"/>
        <w:ind w:firstLine="3600" w:firstLineChars="1500"/>
        <w:jc w:val="left"/>
        <w:rPr>
          <w:rFonts w:ascii="宋体" w:hAnsi="宋体" w:eastAsia="宋体" w:cs="Times New Roman"/>
          <w:sz w:val="24"/>
          <w:szCs w:val="24"/>
          <w:highlight w:val="none"/>
        </w:rPr>
      </w:pPr>
      <w:r>
        <w:rPr>
          <w:rFonts w:hint="eastAsia" w:ascii="宋体" w:hAnsi="宋体" w:eastAsia="宋体" w:cs="Times New Roman"/>
          <w:bCs/>
          <w:sz w:val="24"/>
          <w:szCs w:val="24"/>
          <w:highlight w:val="none"/>
        </w:rPr>
        <w:t>日期：     年    月    日</w:t>
      </w:r>
    </w:p>
    <w:p w14:paraId="5FF5069B">
      <w:pPr>
        <w:spacing w:line="400" w:lineRule="exact"/>
        <w:jc w:val="center"/>
        <w:rPr>
          <w:rFonts w:ascii="宋体" w:hAnsi="宋体" w:eastAsia="宋体" w:cs="Times New Roman"/>
          <w:sz w:val="24"/>
          <w:szCs w:val="24"/>
          <w:highlight w:val="none"/>
        </w:rPr>
      </w:pPr>
    </w:p>
    <w:bookmarkEnd w:id="19"/>
    <w:bookmarkEnd w:id="20"/>
    <w:bookmarkEnd w:id="21"/>
    <w:p w14:paraId="4FE26EE3">
      <w:pPr>
        <w:spacing w:line="400" w:lineRule="exact"/>
        <w:jc w:val="center"/>
        <w:rPr>
          <w:rFonts w:ascii="宋体" w:hAnsi="宋体" w:eastAsia="宋体" w:cs="Times New Roman"/>
          <w:sz w:val="24"/>
          <w:szCs w:val="24"/>
          <w:highlight w:val="none"/>
        </w:rPr>
      </w:pPr>
    </w:p>
    <w:p w14:paraId="61056C40">
      <w:pPr>
        <w:spacing w:line="400" w:lineRule="exact"/>
        <w:jc w:val="center"/>
        <w:rPr>
          <w:rFonts w:ascii="宋体" w:hAnsi="宋体" w:eastAsia="宋体" w:cs="Times New Roman"/>
          <w:sz w:val="24"/>
          <w:szCs w:val="24"/>
          <w:highlight w:val="none"/>
        </w:rPr>
        <w:sectPr>
          <w:pgSz w:w="11906" w:h="16838"/>
          <w:pgMar w:top="1247" w:right="1247" w:bottom="1247" w:left="1247" w:header="680" w:footer="992" w:gutter="0"/>
          <w:pgNumType w:fmt="numberInDash"/>
          <w:cols w:space="720" w:num="1"/>
          <w:docGrid w:linePitch="312" w:charSpace="0"/>
        </w:sectPr>
      </w:pPr>
    </w:p>
    <w:bookmarkEnd w:id="17"/>
    <w:bookmarkEnd w:id="18"/>
    <w:p w14:paraId="665D93E1">
      <w:pPr>
        <w:spacing w:line="400" w:lineRule="exact"/>
        <w:jc w:val="center"/>
        <w:rPr>
          <w:rFonts w:ascii="黑体" w:hAnsi="黑体" w:eastAsia="黑体" w:cs="Times New Roman"/>
          <w:sz w:val="28"/>
          <w:szCs w:val="28"/>
          <w:highlight w:val="none"/>
        </w:rPr>
      </w:pPr>
    </w:p>
    <w:p w14:paraId="27D06D63">
      <w:pPr>
        <w:spacing w:line="400" w:lineRule="exact"/>
        <w:jc w:val="center"/>
        <w:rPr>
          <w:rFonts w:ascii="黑体" w:hAnsi="黑体" w:eastAsia="黑体" w:cs="Times New Roman"/>
          <w:sz w:val="28"/>
          <w:szCs w:val="28"/>
          <w:highlight w:val="none"/>
        </w:rPr>
      </w:pPr>
      <w:r>
        <w:rPr>
          <w:rFonts w:hint="eastAsia" w:ascii="黑体" w:hAnsi="Times New Roman" w:eastAsia="黑体" w:cs="Times New Roman"/>
          <w:sz w:val="28"/>
          <w:szCs w:val="28"/>
          <w:highlight w:val="none"/>
        </w:rPr>
        <w:t>三、</w:t>
      </w:r>
      <w:r>
        <w:rPr>
          <w:rFonts w:hint="eastAsia" w:ascii="黑体" w:hAnsi="黑体" w:eastAsia="黑体" w:cs="Times New Roman"/>
          <w:sz w:val="28"/>
          <w:szCs w:val="28"/>
          <w:highlight w:val="none"/>
        </w:rPr>
        <w:t>分项报价表</w:t>
      </w:r>
    </w:p>
    <w:p w14:paraId="1E0E8357">
      <w:pPr>
        <w:spacing w:line="400" w:lineRule="exact"/>
        <w:jc w:val="right"/>
        <w:rPr>
          <w:rFonts w:ascii="宋体" w:hAnsi="宋体"/>
          <w:szCs w:val="21"/>
          <w:highlight w:val="none"/>
        </w:rPr>
      </w:pPr>
    </w:p>
    <w:p w14:paraId="4A18C3F8">
      <w:pPr>
        <w:spacing w:line="400" w:lineRule="exact"/>
        <w:jc w:val="right"/>
        <w:rPr>
          <w:rFonts w:ascii="宋体" w:hAnsi="宋体" w:eastAsia="宋体" w:cs="Times New Roman"/>
          <w:szCs w:val="21"/>
          <w:highlight w:val="none"/>
        </w:rPr>
      </w:pPr>
      <w:r>
        <w:rPr>
          <w:rFonts w:hint="eastAsia" w:ascii="宋体" w:hAnsi="宋体" w:eastAsia="宋体" w:cs="Times New Roman"/>
          <w:szCs w:val="21"/>
          <w:highlight w:val="none"/>
        </w:rPr>
        <w:t>单位：元（人民币）</w:t>
      </w:r>
    </w:p>
    <w:tbl>
      <w:tblPr>
        <w:tblStyle w:val="3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73"/>
        <w:gridCol w:w="673"/>
        <w:gridCol w:w="676"/>
        <w:gridCol w:w="1119"/>
        <w:gridCol w:w="1005"/>
        <w:gridCol w:w="778"/>
        <w:gridCol w:w="892"/>
        <w:gridCol w:w="809"/>
        <w:gridCol w:w="761"/>
        <w:gridCol w:w="1121"/>
        <w:gridCol w:w="1121"/>
      </w:tblGrid>
      <w:tr w14:paraId="46C3F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00" w:type="pct"/>
            <w:gridSpan w:val="11"/>
            <w:vAlign w:val="center"/>
          </w:tcPr>
          <w:p w14:paraId="4C308EA4">
            <w:pPr>
              <w:widowControl/>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（一）服务部分</w:t>
            </w:r>
          </w:p>
        </w:tc>
      </w:tr>
      <w:tr w14:paraId="59D692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vAlign w:val="center"/>
          </w:tcPr>
          <w:p w14:paraId="67F40169">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序号</w:t>
            </w:r>
          </w:p>
        </w:tc>
        <w:tc>
          <w:tcPr>
            <w:tcW w:w="2672" w:type="pct"/>
            <w:gridSpan w:val="6"/>
            <w:vAlign w:val="center"/>
          </w:tcPr>
          <w:p w14:paraId="32DD2ED9">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服务内容</w:t>
            </w:r>
          </w:p>
        </w:tc>
        <w:tc>
          <w:tcPr>
            <w:tcW w:w="420" w:type="pct"/>
            <w:vAlign w:val="center"/>
          </w:tcPr>
          <w:p w14:paraId="5804B0B6">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数量</w:t>
            </w:r>
          </w:p>
        </w:tc>
        <w:tc>
          <w:tcPr>
            <w:tcW w:w="395" w:type="pct"/>
            <w:vAlign w:val="center"/>
          </w:tcPr>
          <w:p w14:paraId="25ECA701">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单位</w:t>
            </w:r>
          </w:p>
        </w:tc>
        <w:tc>
          <w:tcPr>
            <w:tcW w:w="0" w:type="auto"/>
            <w:vAlign w:val="center"/>
          </w:tcPr>
          <w:p w14:paraId="28A8376A">
            <w:pPr>
              <w:widowControl/>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分项单价</w:t>
            </w:r>
          </w:p>
        </w:tc>
        <w:tc>
          <w:tcPr>
            <w:tcW w:w="0" w:type="auto"/>
            <w:vAlign w:val="center"/>
          </w:tcPr>
          <w:p w14:paraId="3B508761">
            <w:pPr>
              <w:widowControl/>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分项总价</w:t>
            </w:r>
          </w:p>
        </w:tc>
      </w:tr>
      <w:tr w14:paraId="51223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vAlign w:val="center"/>
          </w:tcPr>
          <w:p w14:paraId="3B7A9F0D">
            <w:pPr>
              <w:spacing w:line="400" w:lineRule="exact"/>
              <w:jc w:val="center"/>
              <w:rPr>
                <w:rFonts w:ascii="宋体" w:hAnsi="宋体" w:eastAsia="宋体" w:cs="Times New Roman"/>
                <w:kern w:val="0"/>
                <w:szCs w:val="21"/>
                <w:highlight w:val="none"/>
              </w:rPr>
            </w:pPr>
            <w:r>
              <w:rPr>
                <w:rFonts w:hint="eastAsia" w:ascii="宋体" w:hAnsi="宋体" w:eastAsia="宋体" w:cs="Times New Roman"/>
                <w:kern w:val="0"/>
                <w:szCs w:val="21"/>
                <w:highlight w:val="none"/>
              </w:rPr>
              <w:t>1</w:t>
            </w:r>
          </w:p>
        </w:tc>
        <w:tc>
          <w:tcPr>
            <w:tcW w:w="2672" w:type="pct"/>
            <w:gridSpan w:val="6"/>
            <w:vAlign w:val="center"/>
          </w:tcPr>
          <w:p w14:paraId="6BF53255">
            <w:pPr>
              <w:spacing w:line="400" w:lineRule="exact"/>
              <w:jc w:val="center"/>
              <w:rPr>
                <w:rFonts w:ascii="宋体" w:hAnsi="宋体" w:eastAsia="宋体" w:cs="Times New Roman"/>
                <w:b/>
                <w:bCs/>
                <w:szCs w:val="21"/>
                <w:highlight w:val="none"/>
              </w:rPr>
            </w:pPr>
          </w:p>
        </w:tc>
        <w:tc>
          <w:tcPr>
            <w:tcW w:w="420" w:type="pct"/>
            <w:vAlign w:val="center"/>
          </w:tcPr>
          <w:p w14:paraId="02001D10">
            <w:pPr>
              <w:spacing w:line="400" w:lineRule="exact"/>
              <w:jc w:val="center"/>
              <w:rPr>
                <w:rFonts w:ascii="宋体" w:hAnsi="宋体" w:eastAsia="宋体" w:cs="Times New Roman"/>
                <w:b/>
                <w:bCs/>
                <w:szCs w:val="21"/>
                <w:highlight w:val="none"/>
              </w:rPr>
            </w:pPr>
          </w:p>
        </w:tc>
        <w:tc>
          <w:tcPr>
            <w:tcW w:w="395" w:type="pct"/>
            <w:vAlign w:val="center"/>
          </w:tcPr>
          <w:p w14:paraId="2F829016">
            <w:pPr>
              <w:spacing w:line="400" w:lineRule="exact"/>
              <w:jc w:val="center"/>
              <w:rPr>
                <w:rFonts w:ascii="宋体" w:hAnsi="宋体" w:eastAsia="宋体" w:cs="Times New Roman"/>
                <w:b/>
                <w:bCs/>
                <w:szCs w:val="21"/>
                <w:highlight w:val="none"/>
              </w:rPr>
            </w:pPr>
          </w:p>
        </w:tc>
        <w:tc>
          <w:tcPr>
            <w:tcW w:w="0" w:type="auto"/>
            <w:vAlign w:val="center"/>
          </w:tcPr>
          <w:p w14:paraId="722264DC">
            <w:pPr>
              <w:widowControl/>
              <w:spacing w:line="400" w:lineRule="exact"/>
              <w:jc w:val="center"/>
              <w:rPr>
                <w:rFonts w:ascii="宋体" w:hAnsi="宋体" w:eastAsia="宋体" w:cs="Times New Roman"/>
                <w:b/>
                <w:bCs/>
                <w:szCs w:val="21"/>
                <w:highlight w:val="none"/>
              </w:rPr>
            </w:pPr>
          </w:p>
        </w:tc>
        <w:tc>
          <w:tcPr>
            <w:tcW w:w="0" w:type="auto"/>
            <w:vAlign w:val="center"/>
          </w:tcPr>
          <w:p w14:paraId="011328AE">
            <w:pPr>
              <w:widowControl/>
              <w:spacing w:line="400" w:lineRule="exact"/>
              <w:jc w:val="center"/>
              <w:rPr>
                <w:rFonts w:ascii="宋体" w:hAnsi="宋体" w:eastAsia="宋体" w:cs="Times New Roman"/>
                <w:b/>
                <w:bCs/>
                <w:szCs w:val="21"/>
                <w:highlight w:val="none"/>
              </w:rPr>
            </w:pPr>
          </w:p>
        </w:tc>
      </w:tr>
      <w:tr w14:paraId="600E1A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vAlign w:val="center"/>
          </w:tcPr>
          <w:p w14:paraId="23278998">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2</w:t>
            </w:r>
          </w:p>
        </w:tc>
        <w:tc>
          <w:tcPr>
            <w:tcW w:w="2672" w:type="pct"/>
            <w:gridSpan w:val="6"/>
            <w:vAlign w:val="center"/>
          </w:tcPr>
          <w:p w14:paraId="0CF6868F">
            <w:pPr>
              <w:spacing w:line="400" w:lineRule="exact"/>
              <w:jc w:val="center"/>
              <w:rPr>
                <w:rFonts w:ascii="宋体" w:hAnsi="宋体" w:eastAsia="宋体" w:cs="Times New Roman"/>
                <w:b/>
                <w:bCs/>
                <w:szCs w:val="21"/>
                <w:highlight w:val="none"/>
              </w:rPr>
            </w:pPr>
          </w:p>
        </w:tc>
        <w:tc>
          <w:tcPr>
            <w:tcW w:w="420" w:type="pct"/>
            <w:vAlign w:val="center"/>
          </w:tcPr>
          <w:p w14:paraId="4CCA460E">
            <w:pPr>
              <w:spacing w:line="400" w:lineRule="exact"/>
              <w:jc w:val="center"/>
              <w:rPr>
                <w:rFonts w:ascii="宋体" w:hAnsi="宋体" w:eastAsia="宋体" w:cs="Times New Roman"/>
                <w:b/>
                <w:bCs/>
                <w:szCs w:val="21"/>
                <w:highlight w:val="none"/>
              </w:rPr>
            </w:pPr>
          </w:p>
        </w:tc>
        <w:tc>
          <w:tcPr>
            <w:tcW w:w="395" w:type="pct"/>
            <w:vAlign w:val="center"/>
          </w:tcPr>
          <w:p w14:paraId="61463DE4">
            <w:pPr>
              <w:spacing w:line="400" w:lineRule="exact"/>
              <w:jc w:val="center"/>
              <w:rPr>
                <w:rFonts w:ascii="宋体" w:hAnsi="宋体" w:eastAsia="宋体" w:cs="Times New Roman"/>
                <w:b/>
                <w:bCs/>
                <w:szCs w:val="21"/>
                <w:highlight w:val="none"/>
              </w:rPr>
            </w:pPr>
          </w:p>
        </w:tc>
        <w:tc>
          <w:tcPr>
            <w:tcW w:w="0" w:type="auto"/>
            <w:vAlign w:val="center"/>
          </w:tcPr>
          <w:p w14:paraId="5E7235E6">
            <w:pPr>
              <w:widowControl/>
              <w:spacing w:line="400" w:lineRule="exact"/>
              <w:jc w:val="center"/>
              <w:rPr>
                <w:rFonts w:ascii="宋体" w:hAnsi="宋体" w:eastAsia="宋体" w:cs="Times New Roman"/>
                <w:b/>
                <w:bCs/>
                <w:szCs w:val="21"/>
                <w:highlight w:val="none"/>
              </w:rPr>
            </w:pPr>
          </w:p>
        </w:tc>
        <w:tc>
          <w:tcPr>
            <w:tcW w:w="0" w:type="auto"/>
            <w:vAlign w:val="center"/>
          </w:tcPr>
          <w:p w14:paraId="10F84EEA">
            <w:pPr>
              <w:widowControl/>
              <w:spacing w:line="400" w:lineRule="exact"/>
              <w:jc w:val="center"/>
              <w:rPr>
                <w:rFonts w:ascii="宋体" w:hAnsi="宋体" w:eastAsia="宋体" w:cs="Times New Roman"/>
                <w:b/>
                <w:bCs/>
                <w:szCs w:val="21"/>
                <w:highlight w:val="none"/>
              </w:rPr>
            </w:pPr>
          </w:p>
        </w:tc>
      </w:tr>
      <w:tr w14:paraId="22ACD2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vAlign w:val="center"/>
          </w:tcPr>
          <w:p w14:paraId="009CABB1">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3</w:t>
            </w:r>
          </w:p>
        </w:tc>
        <w:tc>
          <w:tcPr>
            <w:tcW w:w="2672" w:type="pct"/>
            <w:gridSpan w:val="6"/>
            <w:vAlign w:val="center"/>
          </w:tcPr>
          <w:p w14:paraId="72FFF360">
            <w:pPr>
              <w:spacing w:line="400" w:lineRule="exact"/>
              <w:jc w:val="center"/>
              <w:rPr>
                <w:rFonts w:ascii="宋体" w:hAnsi="宋体" w:eastAsia="宋体" w:cs="Times New Roman"/>
                <w:b/>
                <w:bCs/>
                <w:szCs w:val="21"/>
                <w:highlight w:val="none"/>
              </w:rPr>
            </w:pPr>
          </w:p>
        </w:tc>
        <w:tc>
          <w:tcPr>
            <w:tcW w:w="420" w:type="pct"/>
            <w:vAlign w:val="center"/>
          </w:tcPr>
          <w:p w14:paraId="60D1FD1E">
            <w:pPr>
              <w:spacing w:line="400" w:lineRule="exact"/>
              <w:jc w:val="center"/>
              <w:rPr>
                <w:rFonts w:ascii="宋体" w:hAnsi="宋体" w:eastAsia="宋体" w:cs="Times New Roman"/>
                <w:b/>
                <w:bCs/>
                <w:szCs w:val="21"/>
                <w:highlight w:val="none"/>
              </w:rPr>
            </w:pPr>
          </w:p>
        </w:tc>
        <w:tc>
          <w:tcPr>
            <w:tcW w:w="395" w:type="pct"/>
            <w:vAlign w:val="center"/>
          </w:tcPr>
          <w:p w14:paraId="7EC0FA5F">
            <w:pPr>
              <w:spacing w:line="400" w:lineRule="exact"/>
              <w:jc w:val="center"/>
              <w:rPr>
                <w:rFonts w:ascii="宋体" w:hAnsi="宋体" w:eastAsia="宋体" w:cs="Times New Roman"/>
                <w:b/>
                <w:bCs/>
                <w:szCs w:val="21"/>
                <w:highlight w:val="none"/>
              </w:rPr>
            </w:pPr>
          </w:p>
        </w:tc>
        <w:tc>
          <w:tcPr>
            <w:tcW w:w="0" w:type="auto"/>
            <w:vAlign w:val="center"/>
          </w:tcPr>
          <w:p w14:paraId="77577A89">
            <w:pPr>
              <w:widowControl/>
              <w:spacing w:line="400" w:lineRule="exact"/>
              <w:jc w:val="center"/>
              <w:rPr>
                <w:rFonts w:ascii="宋体" w:hAnsi="宋体" w:eastAsia="宋体" w:cs="Times New Roman"/>
                <w:b/>
                <w:bCs/>
                <w:szCs w:val="21"/>
                <w:highlight w:val="none"/>
              </w:rPr>
            </w:pPr>
          </w:p>
        </w:tc>
        <w:tc>
          <w:tcPr>
            <w:tcW w:w="0" w:type="auto"/>
            <w:vAlign w:val="center"/>
          </w:tcPr>
          <w:p w14:paraId="76847DBB">
            <w:pPr>
              <w:widowControl/>
              <w:spacing w:line="400" w:lineRule="exact"/>
              <w:jc w:val="center"/>
              <w:rPr>
                <w:rFonts w:ascii="宋体" w:hAnsi="宋体" w:eastAsia="宋体" w:cs="Times New Roman"/>
                <w:b/>
                <w:bCs/>
                <w:szCs w:val="21"/>
                <w:highlight w:val="none"/>
              </w:rPr>
            </w:pPr>
          </w:p>
        </w:tc>
      </w:tr>
      <w:tr w14:paraId="613844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vAlign w:val="center"/>
          </w:tcPr>
          <w:p w14:paraId="2E693363">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w:t>
            </w:r>
          </w:p>
        </w:tc>
        <w:tc>
          <w:tcPr>
            <w:tcW w:w="2672" w:type="pct"/>
            <w:gridSpan w:val="6"/>
            <w:vAlign w:val="center"/>
          </w:tcPr>
          <w:p w14:paraId="0B6B7EB6">
            <w:pPr>
              <w:spacing w:line="400" w:lineRule="exact"/>
              <w:jc w:val="center"/>
              <w:rPr>
                <w:rFonts w:ascii="宋体" w:hAnsi="宋体" w:eastAsia="宋体" w:cs="Times New Roman"/>
                <w:b/>
                <w:bCs/>
                <w:szCs w:val="21"/>
                <w:highlight w:val="none"/>
              </w:rPr>
            </w:pPr>
          </w:p>
        </w:tc>
        <w:tc>
          <w:tcPr>
            <w:tcW w:w="420" w:type="pct"/>
            <w:vAlign w:val="center"/>
          </w:tcPr>
          <w:p w14:paraId="190B409C">
            <w:pPr>
              <w:spacing w:line="400" w:lineRule="exact"/>
              <w:jc w:val="center"/>
              <w:rPr>
                <w:rFonts w:ascii="宋体" w:hAnsi="宋体" w:eastAsia="宋体" w:cs="Times New Roman"/>
                <w:b/>
                <w:bCs/>
                <w:szCs w:val="21"/>
                <w:highlight w:val="none"/>
              </w:rPr>
            </w:pPr>
          </w:p>
        </w:tc>
        <w:tc>
          <w:tcPr>
            <w:tcW w:w="395" w:type="pct"/>
            <w:vAlign w:val="center"/>
          </w:tcPr>
          <w:p w14:paraId="6C363CDC">
            <w:pPr>
              <w:spacing w:line="400" w:lineRule="exact"/>
              <w:jc w:val="center"/>
              <w:rPr>
                <w:rFonts w:ascii="宋体" w:hAnsi="宋体" w:eastAsia="宋体" w:cs="Times New Roman"/>
                <w:b/>
                <w:bCs/>
                <w:szCs w:val="21"/>
                <w:highlight w:val="none"/>
              </w:rPr>
            </w:pPr>
          </w:p>
        </w:tc>
        <w:tc>
          <w:tcPr>
            <w:tcW w:w="0" w:type="auto"/>
            <w:vAlign w:val="center"/>
          </w:tcPr>
          <w:p w14:paraId="5118753F">
            <w:pPr>
              <w:widowControl/>
              <w:spacing w:line="400" w:lineRule="exact"/>
              <w:jc w:val="center"/>
              <w:rPr>
                <w:rFonts w:ascii="宋体" w:hAnsi="宋体" w:eastAsia="宋体" w:cs="Times New Roman"/>
                <w:b/>
                <w:bCs/>
                <w:szCs w:val="21"/>
                <w:highlight w:val="none"/>
              </w:rPr>
            </w:pPr>
          </w:p>
        </w:tc>
        <w:tc>
          <w:tcPr>
            <w:tcW w:w="0" w:type="auto"/>
            <w:vAlign w:val="center"/>
          </w:tcPr>
          <w:p w14:paraId="1E2BF0D2">
            <w:pPr>
              <w:widowControl/>
              <w:spacing w:line="400" w:lineRule="exact"/>
              <w:jc w:val="center"/>
              <w:rPr>
                <w:rFonts w:ascii="宋体" w:hAnsi="宋体" w:eastAsia="宋体" w:cs="Times New Roman"/>
                <w:b/>
                <w:bCs/>
                <w:szCs w:val="21"/>
                <w:highlight w:val="none"/>
              </w:rPr>
            </w:pPr>
          </w:p>
        </w:tc>
      </w:tr>
      <w:tr w14:paraId="1A0D82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000" w:type="pct"/>
            <w:gridSpan w:val="11"/>
            <w:vAlign w:val="center"/>
          </w:tcPr>
          <w:p w14:paraId="7B14CC02">
            <w:pPr>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（二）货物部分</w:t>
            </w:r>
          </w:p>
        </w:tc>
      </w:tr>
      <w:tr w14:paraId="286EE2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vAlign w:val="center"/>
          </w:tcPr>
          <w:p w14:paraId="56DAE569">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序号</w:t>
            </w:r>
          </w:p>
        </w:tc>
        <w:tc>
          <w:tcPr>
            <w:tcW w:w="0" w:type="auto"/>
            <w:vAlign w:val="center"/>
          </w:tcPr>
          <w:p w14:paraId="63566147">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名称</w:t>
            </w:r>
          </w:p>
        </w:tc>
        <w:tc>
          <w:tcPr>
            <w:tcW w:w="0" w:type="auto"/>
            <w:vAlign w:val="center"/>
          </w:tcPr>
          <w:p w14:paraId="0A367FE8">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品牌</w:t>
            </w:r>
          </w:p>
        </w:tc>
        <w:tc>
          <w:tcPr>
            <w:tcW w:w="0" w:type="auto"/>
            <w:vAlign w:val="center"/>
          </w:tcPr>
          <w:p w14:paraId="112FFA53">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规格型号</w:t>
            </w:r>
          </w:p>
        </w:tc>
        <w:tc>
          <w:tcPr>
            <w:tcW w:w="522" w:type="pct"/>
            <w:vAlign w:val="center"/>
          </w:tcPr>
          <w:p w14:paraId="7D8F6DD4">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制造商名称</w:t>
            </w:r>
          </w:p>
        </w:tc>
        <w:tc>
          <w:tcPr>
            <w:tcW w:w="404" w:type="pct"/>
            <w:vAlign w:val="center"/>
          </w:tcPr>
          <w:p w14:paraId="47A981AA">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产地</w:t>
            </w:r>
          </w:p>
        </w:tc>
        <w:tc>
          <w:tcPr>
            <w:tcW w:w="463" w:type="pct"/>
            <w:vAlign w:val="center"/>
          </w:tcPr>
          <w:p w14:paraId="1B388245">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质保期</w:t>
            </w:r>
          </w:p>
        </w:tc>
        <w:tc>
          <w:tcPr>
            <w:tcW w:w="420" w:type="pct"/>
            <w:vAlign w:val="center"/>
          </w:tcPr>
          <w:p w14:paraId="0FB33C99">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数量</w:t>
            </w:r>
          </w:p>
        </w:tc>
        <w:tc>
          <w:tcPr>
            <w:tcW w:w="395" w:type="pct"/>
            <w:vAlign w:val="center"/>
          </w:tcPr>
          <w:p w14:paraId="3599BC85">
            <w:pPr>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单位</w:t>
            </w:r>
          </w:p>
        </w:tc>
        <w:tc>
          <w:tcPr>
            <w:tcW w:w="0" w:type="auto"/>
            <w:vAlign w:val="center"/>
          </w:tcPr>
          <w:p w14:paraId="0632EAB0">
            <w:pPr>
              <w:widowControl/>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分项单价</w:t>
            </w:r>
          </w:p>
        </w:tc>
        <w:tc>
          <w:tcPr>
            <w:tcW w:w="0" w:type="auto"/>
            <w:vAlign w:val="center"/>
          </w:tcPr>
          <w:p w14:paraId="42EE4205">
            <w:pPr>
              <w:widowControl/>
              <w:spacing w:line="400" w:lineRule="exact"/>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分项总价</w:t>
            </w:r>
          </w:p>
        </w:tc>
      </w:tr>
      <w:tr w14:paraId="6209C2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vAlign w:val="center"/>
          </w:tcPr>
          <w:p w14:paraId="35FFB6C4">
            <w:pPr>
              <w:spacing w:line="400" w:lineRule="exact"/>
              <w:jc w:val="center"/>
              <w:rPr>
                <w:rFonts w:ascii="宋体" w:hAnsi="宋体" w:eastAsia="宋体" w:cs="Times New Roman"/>
                <w:kern w:val="0"/>
                <w:szCs w:val="21"/>
                <w:highlight w:val="none"/>
              </w:rPr>
            </w:pPr>
            <w:r>
              <w:rPr>
                <w:rFonts w:hint="eastAsia" w:ascii="宋体" w:hAnsi="宋体" w:eastAsia="宋体" w:cs="Times New Roman"/>
                <w:kern w:val="0"/>
                <w:szCs w:val="21"/>
                <w:highlight w:val="none"/>
              </w:rPr>
              <w:t>1</w:t>
            </w:r>
          </w:p>
        </w:tc>
        <w:tc>
          <w:tcPr>
            <w:tcW w:w="0" w:type="auto"/>
            <w:vAlign w:val="center"/>
          </w:tcPr>
          <w:p w14:paraId="08FF74B7">
            <w:pPr>
              <w:widowControl/>
              <w:spacing w:line="400" w:lineRule="exact"/>
              <w:jc w:val="center"/>
              <w:rPr>
                <w:rFonts w:ascii="宋体" w:hAnsi="宋体" w:eastAsia="宋体" w:cs="宋体"/>
                <w:kern w:val="0"/>
                <w:szCs w:val="21"/>
                <w:highlight w:val="none"/>
              </w:rPr>
            </w:pPr>
          </w:p>
        </w:tc>
        <w:tc>
          <w:tcPr>
            <w:tcW w:w="0" w:type="auto"/>
            <w:vAlign w:val="center"/>
          </w:tcPr>
          <w:p w14:paraId="7B3044F9">
            <w:pPr>
              <w:spacing w:line="400" w:lineRule="exact"/>
              <w:jc w:val="center"/>
              <w:rPr>
                <w:rFonts w:ascii="宋体" w:hAnsi="宋体" w:eastAsia="宋体" w:cs="Times New Roman"/>
                <w:szCs w:val="21"/>
                <w:highlight w:val="none"/>
              </w:rPr>
            </w:pPr>
          </w:p>
        </w:tc>
        <w:tc>
          <w:tcPr>
            <w:tcW w:w="0" w:type="auto"/>
            <w:vAlign w:val="center"/>
          </w:tcPr>
          <w:p w14:paraId="232ACDAF">
            <w:pPr>
              <w:spacing w:line="400" w:lineRule="exact"/>
              <w:jc w:val="center"/>
              <w:rPr>
                <w:rFonts w:ascii="宋体" w:hAnsi="宋体" w:eastAsia="宋体" w:cs="Times New Roman"/>
                <w:szCs w:val="21"/>
                <w:highlight w:val="none"/>
              </w:rPr>
            </w:pPr>
          </w:p>
        </w:tc>
        <w:tc>
          <w:tcPr>
            <w:tcW w:w="522" w:type="pct"/>
            <w:vAlign w:val="center"/>
          </w:tcPr>
          <w:p w14:paraId="4581D277">
            <w:pPr>
              <w:spacing w:line="400" w:lineRule="exact"/>
              <w:jc w:val="center"/>
              <w:rPr>
                <w:rFonts w:ascii="宋体" w:hAnsi="宋体" w:eastAsia="宋体" w:cs="Times New Roman"/>
                <w:szCs w:val="21"/>
                <w:highlight w:val="none"/>
              </w:rPr>
            </w:pPr>
          </w:p>
        </w:tc>
        <w:tc>
          <w:tcPr>
            <w:tcW w:w="404" w:type="pct"/>
            <w:vAlign w:val="center"/>
          </w:tcPr>
          <w:p w14:paraId="24767CEF">
            <w:pPr>
              <w:spacing w:line="400" w:lineRule="exact"/>
              <w:jc w:val="center"/>
              <w:rPr>
                <w:rFonts w:ascii="宋体" w:hAnsi="宋体" w:eastAsia="宋体" w:cs="Times New Roman"/>
                <w:szCs w:val="21"/>
                <w:highlight w:val="none"/>
              </w:rPr>
            </w:pPr>
          </w:p>
        </w:tc>
        <w:tc>
          <w:tcPr>
            <w:tcW w:w="463" w:type="pct"/>
            <w:vAlign w:val="center"/>
          </w:tcPr>
          <w:p w14:paraId="0309DA3C">
            <w:pPr>
              <w:spacing w:line="400" w:lineRule="exact"/>
              <w:jc w:val="center"/>
              <w:rPr>
                <w:rFonts w:ascii="宋体" w:hAnsi="宋体" w:eastAsia="宋体" w:cs="Times New Roman"/>
                <w:szCs w:val="21"/>
                <w:highlight w:val="none"/>
              </w:rPr>
            </w:pPr>
          </w:p>
        </w:tc>
        <w:tc>
          <w:tcPr>
            <w:tcW w:w="420" w:type="pct"/>
            <w:vAlign w:val="center"/>
          </w:tcPr>
          <w:p w14:paraId="01743CBD">
            <w:pPr>
              <w:spacing w:line="400" w:lineRule="exact"/>
              <w:jc w:val="center"/>
              <w:rPr>
                <w:rFonts w:ascii="宋体" w:hAnsi="宋体" w:eastAsia="宋体" w:cs="Times New Roman"/>
                <w:szCs w:val="21"/>
                <w:highlight w:val="none"/>
              </w:rPr>
            </w:pPr>
          </w:p>
        </w:tc>
        <w:tc>
          <w:tcPr>
            <w:tcW w:w="395" w:type="pct"/>
            <w:vAlign w:val="center"/>
          </w:tcPr>
          <w:p w14:paraId="2A7F80F0">
            <w:pPr>
              <w:spacing w:line="400" w:lineRule="exact"/>
              <w:jc w:val="center"/>
              <w:rPr>
                <w:rFonts w:ascii="宋体" w:hAnsi="宋体" w:eastAsia="宋体" w:cs="Times New Roman"/>
                <w:szCs w:val="21"/>
                <w:highlight w:val="none"/>
              </w:rPr>
            </w:pPr>
          </w:p>
        </w:tc>
        <w:tc>
          <w:tcPr>
            <w:tcW w:w="0" w:type="auto"/>
            <w:vAlign w:val="center"/>
          </w:tcPr>
          <w:p w14:paraId="620EF5AB">
            <w:pPr>
              <w:spacing w:line="400" w:lineRule="exact"/>
              <w:jc w:val="center"/>
              <w:rPr>
                <w:rFonts w:ascii="宋体" w:hAnsi="宋体" w:eastAsia="宋体" w:cs="Times New Roman"/>
                <w:szCs w:val="21"/>
                <w:highlight w:val="none"/>
              </w:rPr>
            </w:pPr>
          </w:p>
        </w:tc>
        <w:tc>
          <w:tcPr>
            <w:tcW w:w="0" w:type="auto"/>
            <w:vAlign w:val="center"/>
          </w:tcPr>
          <w:p w14:paraId="60246721">
            <w:pPr>
              <w:spacing w:line="400" w:lineRule="exact"/>
              <w:jc w:val="center"/>
              <w:rPr>
                <w:rFonts w:ascii="宋体" w:hAnsi="宋体" w:eastAsia="宋体" w:cs="Times New Roman"/>
                <w:szCs w:val="21"/>
                <w:highlight w:val="none"/>
              </w:rPr>
            </w:pPr>
          </w:p>
        </w:tc>
      </w:tr>
      <w:tr w14:paraId="716B01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vAlign w:val="center"/>
          </w:tcPr>
          <w:p w14:paraId="22845E9E">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2</w:t>
            </w:r>
          </w:p>
        </w:tc>
        <w:tc>
          <w:tcPr>
            <w:tcW w:w="0" w:type="auto"/>
            <w:vAlign w:val="center"/>
          </w:tcPr>
          <w:p w14:paraId="1533F7EE">
            <w:pPr>
              <w:widowControl/>
              <w:spacing w:line="400" w:lineRule="exact"/>
              <w:jc w:val="center"/>
              <w:rPr>
                <w:rFonts w:ascii="宋体" w:hAnsi="宋体" w:eastAsia="宋体" w:cs="宋体"/>
                <w:kern w:val="0"/>
                <w:szCs w:val="21"/>
                <w:highlight w:val="none"/>
              </w:rPr>
            </w:pPr>
          </w:p>
        </w:tc>
        <w:tc>
          <w:tcPr>
            <w:tcW w:w="0" w:type="auto"/>
            <w:vAlign w:val="center"/>
          </w:tcPr>
          <w:p w14:paraId="2B0CF4D9">
            <w:pPr>
              <w:spacing w:line="400" w:lineRule="exact"/>
              <w:jc w:val="center"/>
              <w:rPr>
                <w:rFonts w:ascii="宋体" w:hAnsi="宋体" w:eastAsia="宋体" w:cs="Times New Roman"/>
                <w:szCs w:val="21"/>
                <w:highlight w:val="none"/>
              </w:rPr>
            </w:pPr>
          </w:p>
        </w:tc>
        <w:tc>
          <w:tcPr>
            <w:tcW w:w="0" w:type="auto"/>
            <w:vAlign w:val="center"/>
          </w:tcPr>
          <w:p w14:paraId="102E4E2E">
            <w:pPr>
              <w:spacing w:line="400" w:lineRule="exact"/>
              <w:jc w:val="center"/>
              <w:rPr>
                <w:rFonts w:ascii="宋体" w:hAnsi="宋体" w:eastAsia="宋体" w:cs="Times New Roman"/>
                <w:szCs w:val="21"/>
                <w:highlight w:val="none"/>
              </w:rPr>
            </w:pPr>
          </w:p>
        </w:tc>
        <w:tc>
          <w:tcPr>
            <w:tcW w:w="522" w:type="pct"/>
            <w:vAlign w:val="center"/>
          </w:tcPr>
          <w:p w14:paraId="6522FA1A">
            <w:pPr>
              <w:spacing w:line="400" w:lineRule="exact"/>
              <w:jc w:val="center"/>
              <w:rPr>
                <w:rFonts w:ascii="宋体" w:hAnsi="宋体" w:eastAsia="宋体" w:cs="Times New Roman"/>
                <w:szCs w:val="21"/>
                <w:highlight w:val="none"/>
              </w:rPr>
            </w:pPr>
          </w:p>
        </w:tc>
        <w:tc>
          <w:tcPr>
            <w:tcW w:w="404" w:type="pct"/>
            <w:vAlign w:val="center"/>
          </w:tcPr>
          <w:p w14:paraId="6E4F6ABF">
            <w:pPr>
              <w:spacing w:line="400" w:lineRule="exact"/>
              <w:jc w:val="center"/>
              <w:rPr>
                <w:rFonts w:ascii="宋体" w:hAnsi="宋体" w:eastAsia="宋体" w:cs="Times New Roman"/>
                <w:szCs w:val="21"/>
                <w:highlight w:val="none"/>
              </w:rPr>
            </w:pPr>
          </w:p>
        </w:tc>
        <w:tc>
          <w:tcPr>
            <w:tcW w:w="463" w:type="pct"/>
            <w:vAlign w:val="center"/>
          </w:tcPr>
          <w:p w14:paraId="62424438">
            <w:pPr>
              <w:spacing w:line="400" w:lineRule="exact"/>
              <w:jc w:val="center"/>
              <w:rPr>
                <w:rFonts w:ascii="宋体" w:hAnsi="宋体" w:eastAsia="宋体" w:cs="Times New Roman"/>
                <w:szCs w:val="21"/>
                <w:highlight w:val="none"/>
              </w:rPr>
            </w:pPr>
          </w:p>
        </w:tc>
        <w:tc>
          <w:tcPr>
            <w:tcW w:w="420" w:type="pct"/>
            <w:vAlign w:val="center"/>
          </w:tcPr>
          <w:p w14:paraId="3E3D6BC3">
            <w:pPr>
              <w:spacing w:line="400" w:lineRule="exact"/>
              <w:jc w:val="center"/>
              <w:rPr>
                <w:rFonts w:ascii="宋体" w:hAnsi="宋体" w:eastAsia="宋体" w:cs="Times New Roman"/>
                <w:szCs w:val="21"/>
                <w:highlight w:val="none"/>
              </w:rPr>
            </w:pPr>
          </w:p>
        </w:tc>
        <w:tc>
          <w:tcPr>
            <w:tcW w:w="395" w:type="pct"/>
            <w:vAlign w:val="center"/>
          </w:tcPr>
          <w:p w14:paraId="66C7F90E">
            <w:pPr>
              <w:spacing w:line="400" w:lineRule="exact"/>
              <w:jc w:val="center"/>
              <w:rPr>
                <w:rFonts w:ascii="宋体" w:hAnsi="宋体" w:eastAsia="宋体" w:cs="Times New Roman"/>
                <w:szCs w:val="21"/>
                <w:highlight w:val="none"/>
              </w:rPr>
            </w:pPr>
          </w:p>
        </w:tc>
        <w:tc>
          <w:tcPr>
            <w:tcW w:w="0" w:type="auto"/>
            <w:vAlign w:val="center"/>
          </w:tcPr>
          <w:p w14:paraId="5713E99C">
            <w:pPr>
              <w:spacing w:line="400" w:lineRule="exact"/>
              <w:jc w:val="center"/>
              <w:rPr>
                <w:rFonts w:ascii="宋体" w:hAnsi="宋体" w:eastAsia="宋体" w:cs="Times New Roman"/>
                <w:szCs w:val="21"/>
                <w:highlight w:val="none"/>
              </w:rPr>
            </w:pPr>
          </w:p>
        </w:tc>
        <w:tc>
          <w:tcPr>
            <w:tcW w:w="0" w:type="auto"/>
            <w:vAlign w:val="center"/>
          </w:tcPr>
          <w:p w14:paraId="1DF9DD51">
            <w:pPr>
              <w:spacing w:line="400" w:lineRule="exact"/>
              <w:jc w:val="center"/>
              <w:rPr>
                <w:rFonts w:ascii="宋体" w:hAnsi="宋体" w:eastAsia="宋体" w:cs="Times New Roman"/>
                <w:szCs w:val="21"/>
                <w:highlight w:val="none"/>
              </w:rPr>
            </w:pPr>
          </w:p>
        </w:tc>
      </w:tr>
      <w:tr w14:paraId="5014F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vAlign w:val="center"/>
          </w:tcPr>
          <w:p w14:paraId="20502803">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3</w:t>
            </w:r>
          </w:p>
        </w:tc>
        <w:tc>
          <w:tcPr>
            <w:tcW w:w="0" w:type="auto"/>
            <w:vAlign w:val="center"/>
          </w:tcPr>
          <w:p w14:paraId="5EC1FF51">
            <w:pPr>
              <w:widowControl/>
              <w:spacing w:line="400" w:lineRule="exact"/>
              <w:jc w:val="center"/>
              <w:rPr>
                <w:rFonts w:ascii="宋体" w:hAnsi="宋体" w:eastAsia="宋体" w:cs="宋体"/>
                <w:kern w:val="0"/>
                <w:szCs w:val="21"/>
                <w:highlight w:val="none"/>
              </w:rPr>
            </w:pPr>
          </w:p>
        </w:tc>
        <w:tc>
          <w:tcPr>
            <w:tcW w:w="0" w:type="auto"/>
            <w:vAlign w:val="center"/>
          </w:tcPr>
          <w:p w14:paraId="4BEE8588">
            <w:pPr>
              <w:spacing w:line="400" w:lineRule="exact"/>
              <w:jc w:val="center"/>
              <w:rPr>
                <w:rFonts w:ascii="宋体" w:hAnsi="宋体" w:eastAsia="宋体" w:cs="Times New Roman"/>
                <w:szCs w:val="21"/>
                <w:highlight w:val="none"/>
              </w:rPr>
            </w:pPr>
          </w:p>
        </w:tc>
        <w:tc>
          <w:tcPr>
            <w:tcW w:w="0" w:type="auto"/>
            <w:vAlign w:val="center"/>
          </w:tcPr>
          <w:p w14:paraId="6FF21142">
            <w:pPr>
              <w:spacing w:line="400" w:lineRule="exact"/>
              <w:jc w:val="center"/>
              <w:rPr>
                <w:rFonts w:ascii="宋体" w:hAnsi="宋体" w:eastAsia="宋体" w:cs="Times New Roman"/>
                <w:szCs w:val="21"/>
                <w:highlight w:val="none"/>
              </w:rPr>
            </w:pPr>
          </w:p>
        </w:tc>
        <w:tc>
          <w:tcPr>
            <w:tcW w:w="522" w:type="pct"/>
            <w:vAlign w:val="center"/>
          </w:tcPr>
          <w:p w14:paraId="42C6FA14">
            <w:pPr>
              <w:spacing w:line="400" w:lineRule="exact"/>
              <w:jc w:val="center"/>
              <w:rPr>
                <w:rFonts w:ascii="宋体" w:hAnsi="宋体" w:eastAsia="宋体" w:cs="Times New Roman"/>
                <w:szCs w:val="21"/>
                <w:highlight w:val="none"/>
              </w:rPr>
            </w:pPr>
          </w:p>
        </w:tc>
        <w:tc>
          <w:tcPr>
            <w:tcW w:w="404" w:type="pct"/>
            <w:vAlign w:val="center"/>
          </w:tcPr>
          <w:p w14:paraId="7228FE86">
            <w:pPr>
              <w:spacing w:line="400" w:lineRule="exact"/>
              <w:jc w:val="center"/>
              <w:rPr>
                <w:rFonts w:ascii="宋体" w:hAnsi="宋体" w:eastAsia="宋体" w:cs="Times New Roman"/>
                <w:szCs w:val="21"/>
                <w:highlight w:val="none"/>
              </w:rPr>
            </w:pPr>
          </w:p>
        </w:tc>
        <w:tc>
          <w:tcPr>
            <w:tcW w:w="463" w:type="pct"/>
            <w:vAlign w:val="center"/>
          </w:tcPr>
          <w:p w14:paraId="73AEF6AE">
            <w:pPr>
              <w:spacing w:line="400" w:lineRule="exact"/>
              <w:jc w:val="center"/>
              <w:rPr>
                <w:rFonts w:ascii="宋体" w:hAnsi="宋体" w:eastAsia="宋体" w:cs="Times New Roman"/>
                <w:szCs w:val="21"/>
                <w:highlight w:val="none"/>
              </w:rPr>
            </w:pPr>
          </w:p>
        </w:tc>
        <w:tc>
          <w:tcPr>
            <w:tcW w:w="420" w:type="pct"/>
            <w:vAlign w:val="center"/>
          </w:tcPr>
          <w:p w14:paraId="5C5BC663">
            <w:pPr>
              <w:spacing w:line="400" w:lineRule="exact"/>
              <w:jc w:val="center"/>
              <w:rPr>
                <w:rFonts w:ascii="宋体" w:hAnsi="宋体" w:eastAsia="宋体" w:cs="Times New Roman"/>
                <w:szCs w:val="21"/>
                <w:highlight w:val="none"/>
              </w:rPr>
            </w:pPr>
          </w:p>
        </w:tc>
        <w:tc>
          <w:tcPr>
            <w:tcW w:w="395" w:type="pct"/>
            <w:vAlign w:val="center"/>
          </w:tcPr>
          <w:p w14:paraId="6F464F1F">
            <w:pPr>
              <w:spacing w:line="400" w:lineRule="exact"/>
              <w:jc w:val="center"/>
              <w:rPr>
                <w:rFonts w:ascii="宋体" w:hAnsi="宋体" w:eastAsia="宋体" w:cs="Times New Roman"/>
                <w:szCs w:val="21"/>
                <w:highlight w:val="none"/>
              </w:rPr>
            </w:pPr>
          </w:p>
        </w:tc>
        <w:tc>
          <w:tcPr>
            <w:tcW w:w="0" w:type="auto"/>
            <w:vAlign w:val="center"/>
          </w:tcPr>
          <w:p w14:paraId="3063FF48">
            <w:pPr>
              <w:spacing w:line="400" w:lineRule="exact"/>
              <w:jc w:val="center"/>
              <w:rPr>
                <w:rFonts w:ascii="宋体" w:hAnsi="宋体" w:eastAsia="宋体" w:cs="Times New Roman"/>
                <w:szCs w:val="21"/>
                <w:highlight w:val="none"/>
              </w:rPr>
            </w:pPr>
          </w:p>
        </w:tc>
        <w:tc>
          <w:tcPr>
            <w:tcW w:w="0" w:type="auto"/>
            <w:vAlign w:val="center"/>
          </w:tcPr>
          <w:p w14:paraId="76B7182A">
            <w:pPr>
              <w:spacing w:line="400" w:lineRule="exact"/>
              <w:jc w:val="center"/>
              <w:rPr>
                <w:rFonts w:ascii="宋体" w:hAnsi="宋体" w:eastAsia="宋体" w:cs="Times New Roman"/>
                <w:szCs w:val="21"/>
                <w:highlight w:val="none"/>
              </w:rPr>
            </w:pPr>
          </w:p>
        </w:tc>
      </w:tr>
      <w:tr w14:paraId="49025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vAlign w:val="center"/>
          </w:tcPr>
          <w:p w14:paraId="3EFC052C">
            <w:pPr>
              <w:spacing w:line="400" w:lineRule="exact"/>
              <w:jc w:val="center"/>
              <w:rPr>
                <w:rFonts w:ascii="宋体" w:hAnsi="宋体" w:eastAsia="宋体" w:cs="Times New Roman"/>
                <w:szCs w:val="21"/>
                <w:highlight w:val="none"/>
              </w:rPr>
            </w:pPr>
            <w:r>
              <w:rPr>
                <w:rFonts w:hint="eastAsia" w:ascii="宋体" w:hAnsi="宋体" w:eastAsia="宋体" w:cs="Times New Roman"/>
                <w:szCs w:val="21"/>
                <w:highlight w:val="none"/>
              </w:rPr>
              <w:t>…</w:t>
            </w:r>
          </w:p>
        </w:tc>
        <w:tc>
          <w:tcPr>
            <w:tcW w:w="0" w:type="auto"/>
            <w:vAlign w:val="center"/>
          </w:tcPr>
          <w:p w14:paraId="5F39AFAE">
            <w:pPr>
              <w:widowControl/>
              <w:spacing w:line="400" w:lineRule="exact"/>
              <w:jc w:val="center"/>
              <w:rPr>
                <w:rFonts w:ascii="宋体" w:hAnsi="宋体" w:eastAsia="宋体" w:cs="宋体"/>
                <w:kern w:val="0"/>
                <w:szCs w:val="21"/>
                <w:highlight w:val="none"/>
              </w:rPr>
            </w:pPr>
          </w:p>
        </w:tc>
        <w:tc>
          <w:tcPr>
            <w:tcW w:w="0" w:type="auto"/>
            <w:vAlign w:val="center"/>
          </w:tcPr>
          <w:p w14:paraId="793BC3B5">
            <w:pPr>
              <w:spacing w:line="400" w:lineRule="exact"/>
              <w:jc w:val="center"/>
              <w:rPr>
                <w:rFonts w:ascii="宋体" w:hAnsi="宋体" w:eastAsia="宋体" w:cs="Times New Roman"/>
                <w:szCs w:val="21"/>
                <w:highlight w:val="none"/>
              </w:rPr>
            </w:pPr>
          </w:p>
        </w:tc>
        <w:tc>
          <w:tcPr>
            <w:tcW w:w="0" w:type="auto"/>
            <w:vAlign w:val="center"/>
          </w:tcPr>
          <w:p w14:paraId="137DBFD1">
            <w:pPr>
              <w:spacing w:line="400" w:lineRule="exact"/>
              <w:jc w:val="center"/>
              <w:rPr>
                <w:rFonts w:ascii="宋体" w:hAnsi="宋体" w:eastAsia="宋体" w:cs="Times New Roman"/>
                <w:szCs w:val="21"/>
                <w:highlight w:val="none"/>
              </w:rPr>
            </w:pPr>
          </w:p>
        </w:tc>
        <w:tc>
          <w:tcPr>
            <w:tcW w:w="522" w:type="pct"/>
            <w:vAlign w:val="center"/>
          </w:tcPr>
          <w:p w14:paraId="049D716A">
            <w:pPr>
              <w:spacing w:line="400" w:lineRule="exact"/>
              <w:jc w:val="center"/>
              <w:rPr>
                <w:rFonts w:ascii="宋体" w:hAnsi="宋体" w:eastAsia="宋体" w:cs="Times New Roman"/>
                <w:szCs w:val="21"/>
                <w:highlight w:val="none"/>
              </w:rPr>
            </w:pPr>
          </w:p>
        </w:tc>
        <w:tc>
          <w:tcPr>
            <w:tcW w:w="404" w:type="pct"/>
            <w:vAlign w:val="center"/>
          </w:tcPr>
          <w:p w14:paraId="2FB00741">
            <w:pPr>
              <w:spacing w:line="400" w:lineRule="exact"/>
              <w:jc w:val="center"/>
              <w:rPr>
                <w:rFonts w:ascii="宋体" w:hAnsi="宋体" w:eastAsia="宋体" w:cs="Times New Roman"/>
                <w:szCs w:val="21"/>
                <w:highlight w:val="none"/>
              </w:rPr>
            </w:pPr>
          </w:p>
        </w:tc>
        <w:tc>
          <w:tcPr>
            <w:tcW w:w="463" w:type="pct"/>
            <w:vAlign w:val="center"/>
          </w:tcPr>
          <w:p w14:paraId="1E7ABE86">
            <w:pPr>
              <w:spacing w:line="400" w:lineRule="exact"/>
              <w:jc w:val="center"/>
              <w:rPr>
                <w:rFonts w:ascii="宋体" w:hAnsi="宋体" w:eastAsia="宋体" w:cs="Times New Roman"/>
                <w:szCs w:val="21"/>
                <w:highlight w:val="none"/>
              </w:rPr>
            </w:pPr>
          </w:p>
        </w:tc>
        <w:tc>
          <w:tcPr>
            <w:tcW w:w="420" w:type="pct"/>
            <w:vAlign w:val="center"/>
          </w:tcPr>
          <w:p w14:paraId="215D2C1F">
            <w:pPr>
              <w:spacing w:line="400" w:lineRule="exact"/>
              <w:jc w:val="center"/>
              <w:rPr>
                <w:rFonts w:ascii="宋体" w:hAnsi="宋体" w:eastAsia="宋体" w:cs="Times New Roman"/>
                <w:szCs w:val="21"/>
                <w:highlight w:val="none"/>
              </w:rPr>
            </w:pPr>
          </w:p>
        </w:tc>
        <w:tc>
          <w:tcPr>
            <w:tcW w:w="395" w:type="pct"/>
            <w:vAlign w:val="center"/>
          </w:tcPr>
          <w:p w14:paraId="38D2E5E5">
            <w:pPr>
              <w:spacing w:line="400" w:lineRule="exact"/>
              <w:jc w:val="center"/>
              <w:rPr>
                <w:rFonts w:ascii="宋体" w:hAnsi="宋体" w:eastAsia="宋体" w:cs="Times New Roman"/>
                <w:szCs w:val="21"/>
                <w:highlight w:val="none"/>
              </w:rPr>
            </w:pPr>
          </w:p>
        </w:tc>
        <w:tc>
          <w:tcPr>
            <w:tcW w:w="0" w:type="auto"/>
            <w:vAlign w:val="center"/>
          </w:tcPr>
          <w:p w14:paraId="35340C60">
            <w:pPr>
              <w:spacing w:line="400" w:lineRule="exact"/>
              <w:jc w:val="center"/>
              <w:rPr>
                <w:rFonts w:ascii="宋体" w:hAnsi="宋体" w:eastAsia="宋体" w:cs="Times New Roman"/>
                <w:szCs w:val="21"/>
                <w:highlight w:val="none"/>
              </w:rPr>
            </w:pPr>
          </w:p>
        </w:tc>
        <w:tc>
          <w:tcPr>
            <w:tcW w:w="0" w:type="auto"/>
            <w:vAlign w:val="center"/>
          </w:tcPr>
          <w:p w14:paraId="785231D9">
            <w:pPr>
              <w:spacing w:line="400" w:lineRule="exact"/>
              <w:jc w:val="center"/>
              <w:rPr>
                <w:rFonts w:ascii="宋体" w:hAnsi="宋体" w:eastAsia="宋体" w:cs="Times New Roman"/>
                <w:szCs w:val="21"/>
                <w:highlight w:val="none"/>
              </w:rPr>
            </w:pPr>
          </w:p>
        </w:tc>
      </w:tr>
      <w:tr w14:paraId="08C2DA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8" w:hRule="atLeast"/>
          <w:jc w:val="center"/>
        </w:trPr>
        <w:tc>
          <w:tcPr>
            <w:tcW w:w="0" w:type="auto"/>
            <w:gridSpan w:val="11"/>
            <w:vAlign w:val="center"/>
          </w:tcPr>
          <w:p w14:paraId="6A347F6E">
            <w:pP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合计总价：人民币</w:t>
            </w:r>
            <w:r>
              <w:rPr>
                <w:rFonts w:hint="eastAsia" w:ascii="宋体" w:hAnsi="宋体" w:eastAsia="宋体" w:cs="Times New Roman"/>
                <w:b/>
                <w:bCs/>
                <w:szCs w:val="21"/>
                <w:highlight w:val="none"/>
                <w:u w:val="single"/>
              </w:rPr>
              <w:t xml:space="preserve">                      </w:t>
            </w:r>
            <w:r>
              <w:rPr>
                <w:rFonts w:hint="eastAsia" w:ascii="宋体" w:hAnsi="宋体" w:eastAsia="宋体" w:cs="Times New Roman"/>
                <w:b/>
                <w:bCs/>
                <w:szCs w:val="21"/>
                <w:highlight w:val="none"/>
              </w:rPr>
              <w:t>元</w:t>
            </w:r>
          </w:p>
        </w:tc>
      </w:tr>
      <w:tr w14:paraId="2307F6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gridSpan w:val="11"/>
          </w:tcPr>
          <w:p w14:paraId="48EED188">
            <w:pPr>
              <w:widowControl/>
              <w:spacing w:line="440" w:lineRule="exact"/>
              <w:jc w:val="left"/>
              <w:rPr>
                <w:rFonts w:ascii="宋体" w:hAnsi="宋体" w:eastAsia="宋体" w:cs="Times New Roman"/>
                <w:b/>
                <w:bCs/>
                <w:szCs w:val="21"/>
                <w:highlight w:val="none"/>
              </w:rPr>
            </w:pPr>
            <w:r>
              <w:rPr>
                <w:rFonts w:hint="eastAsia" w:ascii="宋体" w:hAnsi="宋体" w:eastAsia="宋体" w:cs="Times New Roman"/>
                <w:b/>
                <w:bCs/>
                <w:szCs w:val="21"/>
                <w:highlight w:val="none"/>
              </w:rPr>
              <w:t>本采购包中提供的符合本国产品标准的产品成本之和占该采购包提供的全部产品成本之和的比例为</w:t>
            </w:r>
            <w:r>
              <w:rPr>
                <w:rFonts w:hint="eastAsia" w:ascii="宋体" w:hAnsi="宋体" w:eastAsia="宋体" w:cs="Times New Roman"/>
                <w:b/>
                <w:bCs/>
                <w:szCs w:val="21"/>
                <w:highlight w:val="none"/>
                <w:u w:val="single"/>
              </w:rPr>
              <w:t xml:space="preserve">         </w:t>
            </w:r>
            <w:r>
              <w:rPr>
                <w:rFonts w:hint="eastAsia" w:ascii="宋体" w:hAnsi="宋体" w:eastAsia="宋体" w:cs="Times New Roman"/>
                <w:b/>
                <w:bCs/>
                <w:szCs w:val="21"/>
                <w:highlight w:val="none"/>
              </w:rPr>
              <w:t>%。</w:t>
            </w:r>
          </w:p>
        </w:tc>
      </w:tr>
    </w:tbl>
    <w:p w14:paraId="542F92A6">
      <w:pPr>
        <w:spacing w:line="360" w:lineRule="exact"/>
        <w:rPr>
          <w:rFonts w:ascii="宋体" w:hAnsi="宋体" w:eastAsia="宋体" w:cs="Times New Roman"/>
          <w:szCs w:val="21"/>
          <w:highlight w:val="none"/>
        </w:rPr>
      </w:pPr>
    </w:p>
    <w:p w14:paraId="5AE1D991">
      <w:pPr>
        <w:spacing w:line="360" w:lineRule="exact"/>
        <w:rPr>
          <w:rFonts w:ascii="宋体" w:hAnsi="宋体"/>
          <w:szCs w:val="21"/>
          <w:highlight w:val="none"/>
        </w:rPr>
      </w:pPr>
      <w:r>
        <w:rPr>
          <w:rFonts w:hint="eastAsia" w:ascii="宋体" w:hAnsi="宋体" w:eastAsia="宋体" w:cs="Times New Roman"/>
          <w:szCs w:val="21"/>
          <w:highlight w:val="none"/>
        </w:rPr>
        <w:t>注：1、投标单位应当根据本采购包的相关需求据实、详细填写上述表格，</w:t>
      </w:r>
      <w:r>
        <w:rPr>
          <w:rFonts w:hint="eastAsia" w:ascii="宋体" w:hAnsi="宋体"/>
          <w:szCs w:val="21"/>
          <w:highlight w:val="none"/>
        </w:rPr>
        <w:t>尤其注意规格型号的准确填写。</w:t>
      </w:r>
    </w:p>
    <w:p w14:paraId="4136A3F9">
      <w:pPr>
        <w:spacing w:line="360" w:lineRule="exact"/>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2、上表中的“合计总价”应当与《开标一览表》中“项目报价”数额一致。</w:t>
      </w:r>
    </w:p>
    <w:p w14:paraId="7C59513F">
      <w:pPr>
        <w:spacing w:line="360" w:lineRule="exact"/>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p>
    <w:p w14:paraId="52622E74">
      <w:pPr>
        <w:spacing w:line="360" w:lineRule="exact"/>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4、表格不够可另接。</w:t>
      </w:r>
    </w:p>
    <w:p w14:paraId="27420F80">
      <w:pPr>
        <w:spacing w:line="360" w:lineRule="exact"/>
        <w:ind w:firstLine="420" w:firstLineChars="200"/>
        <w:rPr>
          <w:rFonts w:ascii="宋体" w:hAnsi="宋体" w:eastAsia="宋体" w:cs="Times New Roman"/>
          <w:szCs w:val="21"/>
          <w:highlight w:val="none"/>
        </w:rPr>
      </w:pPr>
    </w:p>
    <w:p w14:paraId="4BE108DC">
      <w:pPr>
        <w:spacing w:line="400" w:lineRule="exact"/>
        <w:ind w:firstLine="3600" w:firstLineChars="1500"/>
        <w:jc w:val="lef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投标单位（电子签章）：</w:t>
      </w:r>
    </w:p>
    <w:p w14:paraId="7C178932">
      <w:pPr>
        <w:spacing w:line="400" w:lineRule="exact"/>
        <w:ind w:firstLine="3600" w:firstLineChars="1500"/>
        <w:jc w:val="left"/>
        <w:rPr>
          <w:rFonts w:ascii="宋体" w:hAnsi="宋体" w:eastAsia="宋体" w:cs="Times New Roman"/>
          <w:bCs/>
          <w:sz w:val="24"/>
          <w:szCs w:val="24"/>
          <w:highlight w:val="none"/>
        </w:rPr>
      </w:pPr>
    </w:p>
    <w:p w14:paraId="127B3E41">
      <w:pPr>
        <w:spacing w:line="400" w:lineRule="exact"/>
        <w:ind w:firstLine="3600" w:firstLineChars="1500"/>
        <w:jc w:val="left"/>
        <w:rPr>
          <w:rFonts w:ascii="宋体" w:hAnsi="宋体" w:eastAsia="宋体" w:cs="Times New Roman"/>
          <w:bCs/>
          <w:sz w:val="24"/>
          <w:szCs w:val="24"/>
          <w:highlight w:val="none"/>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Cs/>
          <w:sz w:val="24"/>
          <w:szCs w:val="24"/>
          <w:highlight w:val="none"/>
        </w:rPr>
        <w:t>日期：     年    月    日</w:t>
      </w:r>
    </w:p>
    <w:p w14:paraId="3E46F07C">
      <w:pPr>
        <w:spacing w:line="360" w:lineRule="exact"/>
        <w:jc w:val="center"/>
        <w:rPr>
          <w:rFonts w:ascii="黑体" w:hAnsi="黑体" w:eastAsia="黑体" w:cs="Times New Roman"/>
          <w:sz w:val="28"/>
          <w:szCs w:val="28"/>
          <w:highlight w:val="none"/>
        </w:rPr>
      </w:pPr>
    </w:p>
    <w:p w14:paraId="4822308E">
      <w:pPr>
        <w:spacing w:line="360" w:lineRule="exact"/>
        <w:jc w:val="center"/>
        <w:rPr>
          <w:rFonts w:ascii="黑体" w:hAnsi="黑体" w:eastAsia="黑体" w:cs="Times New Roman"/>
          <w:sz w:val="28"/>
          <w:szCs w:val="28"/>
          <w:highlight w:val="none"/>
        </w:rPr>
      </w:pPr>
      <w:r>
        <w:rPr>
          <w:rFonts w:hint="eastAsia" w:ascii="黑体" w:hAnsi="黑体" w:eastAsia="黑体" w:cs="Times New Roman"/>
          <w:sz w:val="28"/>
          <w:szCs w:val="28"/>
          <w:highlight w:val="none"/>
        </w:rPr>
        <w:t>四、商务、技术要求响应及偏离表</w:t>
      </w:r>
    </w:p>
    <w:p w14:paraId="53ECE89F">
      <w:pPr>
        <w:spacing w:line="360" w:lineRule="exact"/>
        <w:jc w:val="center"/>
        <w:rPr>
          <w:rFonts w:ascii="宋体" w:hAnsi="宋体" w:eastAsia="宋体" w:cs="Times New Roman"/>
          <w:b/>
          <w:sz w:val="24"/>
          <w:szCs w:val="24"/>
          <w:highlight w:val="none"/>
        </w:rPr>
      </w:pPr>
    </w:p>
    <w:p w14:paraId="6C5C82B2">
      <w:pPr>
        <w:spacing w:line="360" w:lineRule="exact"/>
        <w:jc w:val="center"/>
        <w:rPr>
          <w:rFonts w:ascii="宋体" w:hAnsi="宋体" w:eastAsia="宋体" w:cs="Times New Roman"/>
          <w:b/>
          <w:sz w:val="24"/>
          <w:szCs w:val="24"/>
          <w:highlight w:val="none"/>
        </w:rPr>
      </w:pPr>
      <w:r>
        <w:rPr>
          <w:rFonts w:hint="eastAsia" w:ascii="宋体" w:hAnsi="宋体" w:eastAsia="宋体" w:cs="Times New Roman"/>
          <w:b/>
          <w:sz w:val="24"/>
          <w:szCs w:val="24"/>
          <w:highlight w:val="none"/>
        </w:rPr>
        <w:t>（一）商务要求响应及偏离表</w:t>
      </w:r>
    </w:p>
    <w:tbl>
      <w:tblPr>
        <w:tblStyle w:val="3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0B06B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2EAE85F4">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序号</w:t>
            </w:r>
          </w:p>
        </w:tc>
        <w:tc>
          <w:tcPr>
            <w:tcW w:w="2415" w:type="dxa"/>
            <w:vAlign w:val="center"/>
          </w:tcPr>
          <w:p w14:paraId="046028B9">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招标文件</w:t>
            </w:r>
          </w:p>
          <w:p w14:paraId="5ABCD8EF">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商务要求</w:t>
            </w:r>
          </w:p>
        </w:tc>
        <w:tc>
          <w:tcPr>
            <w:tcW w:w="2308" w:type="dxa"/>
            <w:vAlign w:val="center"/>
          </w:tcPr>
          <w:p w14:paraId="5A9C4351">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投标文件</w:t>
            </w:r>
          </w:p>
          <w:p w14:paraId="2A88CF43">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商务规范描述</w:t>
            </w:r>
          </w:p>
        </w:tc>
        <w:tc>
          <w:tcPr>
            <w:tcW w:w="1713" w:type="dxa"/>
            <w:vAlign w:val="center"/>
          </w:tcPr>
          <w:p w14:paraId="285496F3">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有无偏离</w:t>
            </w:r>
          </w:p>
        </w:tc>
        <w:tc>
          <w:tcPr>
            <w:tcW w:w="1911" w:type="dxa"/>
            <w:vAlign w:val="center"/>
          </w:tcPr>
          <w:p w14:paraId="6067990E">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偏离内容及原因</w:t>
            </w:r>
          </w:p>
        </w:tc>
      </w:tr>
      <w:tr w14:paraId="41B4CE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89C2E19">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1</w:t>
            </w:r>
          </w:p>
        </w:tc>
        <w:tc>
          <w:tcPr>
            <w:tcW w:w="2415" w:type="dxa"/>
            <w:vAlign w:val="center"/>
          </w:tcPr>
          <w:p w14:paraId="329CCF93">
            <w:pPr>
              <w:spacing w:line="360" w:lineRule="exact"/>
              <w:jc w:val="center"/>
              <w:rPr>
                <w:rFonts w:ascii="宋体" w:hAnsi="宋体" w:eastAsia="宋体" w:cs="Times New Roman"/>
                <w:sz w:val="24"/>
                <w:szCs w:val="24"/>
                <w:highlight w:val="none"/>
              </w:rPr>
            </w:pPr>
          </w:p>
        </w:tc>
        <w:tc>
          <w:tcPr>
            <w:tcW w:w="2308" w:type="dxa"/>
            <w:vAlign w:val="center"/>
          </w:tcPr>
          <w:p w14:paraId="2188D921">
            <w:pPr>
              <w:spacing w:line="360" w:lineRule="exact"/>
              <w:jc w:val="center"/>
              <w:rPr>
                <w:rFonts w:ascii="宋体" w:hAnsi="宋体" w:eastAsia="宋体" w:cs="Times New Roman"/>
                <w:sz w:val="24"/>
                <w:szCs w:val="24"/>
                <w:highlight w:val="none"/>
              </w:rPr>
            </w:pPr>
          </w:p>
        </w:tc>
        <w:tc>
          <w:tcPr>
            <w:tcW w:w="1713" w:type="dxa"/>
            <w:vAlign w:val="center"/>
          </w:tcPr>
          <w:p w14:paraId="2E6B7D91">
            <w:pPr>
              <w:spacing w:line="360" w:lineRule="exact"/>
              <w:jc w:val="center"/>
              <w:rPr>
                <w:rFonts w:ascii="宋体" w:hAnsi="宋体" w:eastAsia="宋体" w:cs="Times New Roman"/>
                <w:sz w:val="24"/>
                <w:szCs w:val="24"/>
                <w:highlight w:val="none"/>
              </w:rPr>
            </w:pPr>
          </w:p>
        </w:tc>
        <w:tc>
          <w:tcPr>
            <w:tcW w:w="1911" w:type="dxa"/>
            <w:vAlign w:val="center"/>
          </w:tcPr>
          <w:p w14:paraId="3E19E7E6">
            <w:pPr>
              <w:spacing w:line="360" w:lineRule="exact"/>
              <w:jc w:val="center"/>
              <w:rPr>
                <w:rFonts w:ascii="宋体" w:hAnsi="宋体" w:eastAsia="宋体" w:cs="Times New Roman"/>
                <w:sz w:val="24"/>
                <w:szCs w:val="24"/>
                <w:highlight w:val="none"/>
              </w:rPr>
            </w:pPr>
          </w:p>
        </w:tc>
      </w:tr>
      <w:tr w14:paraId="7AB765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8CB7A08">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2</w:t>
            </w:r>
          </w:p>
        </w:tc>
        <w:tc>
          <w:tcPr>
            <w:tcW w:w="2415" w:type="dxa"/>
            <w:vAlign w:val="center"/>
          </w:tcPr>
          <w:p w14:paraId="7587F367">
            <w:pPr>
              <w:spacing w:line="360" w:lineRule="exact"/>
              <w:jc w:val="center"/>
              <w:rPr>
                <w:rFonts w:ascii="宋体" w:hAnsi="宋体" w:eastAsia="宋体" w:cs="Times New Roman"/>
                <w:sz w:val="24"/>
                <w:szCs w:val="24"/>
                <w:highlight w:val="none"/>
              </w:rPr>
            </w:pPr>
          </w:p>
        </w:tc>
        <w:tc>
          <w:tcPr>
            <w:tcW w:w="2308" w:type="dxa"/>
            <w:vAlign w:val="center"/>
          </w:tcPr>
          <w:p w14:paraId="73A95355">
            <w:pPr>
              <w:spacing w:line="360" w:lineRule="exact"/>
              <w:jc w:val="center"/>
              <w:rPr>
                <w:rFonts w:ascii="宋体" w:hAnsi="宋体" w:eastAsia="宋体" w:cs="Times New Roman"/>
                <w:sz w:val="24"/>
                <w:szCs w:val="24"/>
                <w:highlight w:val="none"/>
              </w:rPr>
            </w:pPr>
          </w:p>
        </w:tc>
        <w:tc>
          <w:tcPr>
            <w:tcW w:w="1713" w:type="dxa"/>
            <w:vAlign w:val="center"/>
          </w:tcPr>
          <w:p w14:paraId="3E116DFB">
            <w:pPr>
              <w:spacing w:line="360" w:lineRule="exact"/>
              <w:jc w:val="center"/>
              <w:rPr>
                <w:rFonts w:ascii="宋体" w:hAnsi="宋体" w:eastAsia="宋体" w:cs="Times New Roman"/>
                <w:sz w:val="24"/>
                <w:szCs w:val="24"/>
                <w:highlight w:val="none"/>
              </w:rPr>
            </w:pPr>
          </w:p>
        </w:tc>
        <w:tc>
          <w:tcPr>
            <w:tcW w:w="1911" w:type="dxa"/>
            <w:vAlign w:val="center"/>
          </w:tcPr>
          <w:p w14:paraId="478EF4E0">
            <w:pPr>
              <w:spacing w:line="360" w:lineRule="exact"/>
              <w:jc w:val="center"/>
              <w:rPr>
                <w:rFonts w:ascii="宋体" w:hAnsi="宋体" w:eastAsia="宋体" w:cs="Times New Roman"/>
                <w:sz w:val="24"/>
                <w:szCs w:val="24"/>
                <w:highlight w:val="none"/>
              </w:rPr>
            </w:pPr>
          </w:p>
        </w:tc>
      </w:tr>
      <w:tr w14:paraId="44B154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877014E">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3</w:t>
            </w:r>
          </w:p>
        </w:tc>
        <w:tc>
          <w:tcPr>
            <w:tcW w:w="2415" w:type="dxa"/>
            <w:vAlign w:val="center"/>
          </w:tcPr>
          <w:p w14:paraId="21C3FE50">
            <w:pPr>
              <w:spacing w:line="360" w:lineRule="exact"/>
              <w:jc w:val="center"/>
              <w:rPr>
                <w:rFonts w:ascii="宋体" w:hAnsi="宋体" w:eastAsia="宋体" w:cs="Times New Roman"/>
                <w:sz w:val="24"/>
                <w:szCs w:val="24"/>
                <w:highlight w:val="none"/>
              </w:rPr>
            </w:pPr>
          </w:p>
        </w:tc>
        <w:tc>
          <w:tcPr>
            <w:tcW w:w="2308" w:type="dxa"/>
            <w:vAlign w:val="center"/>
          </w:tcPr>
          <w:p w14:paraId="2A624F97">
            <w:pPr>
              <w:spacing w:line="360" w:lineRule="exact"/>
              <w:jc w:val="center"/>
              <w:rPr>
                <w:rFonts w:ascii="宋体" w:hAnsi="宋体" w:eastAsia="宋体" w:cs="Times New Roman"/>
                <w:sz w:val="24"/>
                <w:szCs w:val="24"/>
                <w:highlight w:val="none"/>
              </w:rPr>
            </w:pPr>
          </w:p>
        </w:tc>
        <w:tc>
          <w:tcPr>
            <w:tcW w:w="1713" w:type="dxa"/>
            <w:vAlign w:val="center"/>
          </w:tcPr>
          <w:p w14:paraId="141528EA">
            <w:pPr>
              <w:spacing w:line="360" w:lineRule="exact"/>
              <w:jc w:val="center"/>
              <w:rPr>
                <w:rFonts w:ascii="宋体" w:hAnsi="宋体" w:eastAsia="宋体" w:cs="Times New Roman"/>
                <w:sz w:val="24"/>
                <w:szCs w:val="24"/>
                <w:highlight w:val="none"/>
              </w:rPr>
            </w:pPr>
          </w:p>
        </w:tc>
        <w:tc>
          <w:tcPr>
            <w:tcW w:w="1911" w:type="dxa"/>
            <w:vAlign w:val="center"/>
          </w:tcPr>
          <w:p w14:paraId="11FED2E3">
            <w:pPr>
              <w:spacing w:line="360" w:lineRule="exact"/>
              <w:jc w:val="center"/>
              <w:rPr>
                <w:rFonts w:ascii="宋体" w:hAnsi="宋体" w:eastAsia="宋体" w:cs="Times New Roman"/>
                <w:sz w:val="24"/>
                <w:szCs w:val="24"/>
                <w:highlight w:val="none"/>
              </w:rPr>
            </w:pPr>
          </w:p>
        </w:tc>
      </w:tr>
      <w:tr w14:paraId="0862F1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F6E17BD">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tc>
        <w:tc>
          <w:tcPr>
            <w:tcW w:w="2415" w:type="dxa"/>
            <w:vAlign w:val="center"/>
          </w:tcPr>
          <w:p w14:paraId="0558FCD7">
            <w:pPr>
              <w:spacing w:line="360" w:lineRule="exact"/>
              <w:jc w:val="center"/>
              <w:rPr>
                <w:rFonts w:ascii="宋体" w:hAnsi="宋体" w:eastAsia="宋体" w:cs="Times New Roman"/>
                <w:sz w:val="24"/>
                <w:szCs w:val="24"/>
                <w:highlight w:val="none"/>
              </w:rPr>
            </w:pPr>
          </w:p>
        </w:tc>
        <w:tc>
          <w:tcPr>
            <w:tcW w:w="2308" w:type="dxa"/>
            <w:vAlign w:val="center"/>
          </w:tcPr>
          <w:p w14:paraId="3C366CF8">
            <w:pPr>
              <w:spacing w:line="360" w:lineRule="exact"/>
              <w:jc w:val="center"/>
              <w:rPr>
                <w:rFonts w:ascii="宋体" w:hAnsi="宋体" w:eastAsia="宋体" w:cs="Times New Roman"/>
                <w:sz w:val="24"/>
                <w:szCs w:val="24"/>
                <w:highlight w:val="none"/>
              </w:rPr>
            </w:pPr>
          </w:p>
        </w:tc>
        <w:tc>
          <w:tcPr>
            <w:tcW w:w="1713" w:type="dxa"/>
            <w:vAlign w:val="center"/>
          </w:tcPr>
          <w:p w14:paraId="41EBD1BB">
            <w:pPr>
              <w:spacing w:line="360" w:lineRule="exact"/>
              <w:jc w:val="center"/>
              <w:rPr>
                <w:rFonts w:ascii="宋体" w:hAnsi="宋体" w:eastAsia="宋体" w:cs="Times New Roman"/>
                <w:sz w:val="24"/>
                <w:szCs w:val="24"/>
                <w:highlight w:val="none"/>
              </w:rPr>
            </w:pPr>
          </w:p>
        </w:tc>
        <w:tc>
          <w:tcPr>
            <w:tcW w:w="1911" w:type="dxa"/>
            <w:vAlign w:val="center"/>
          </w:tcPr>
          <w:p w14:paraId="7F95F298">
            <w:pPr>
              <w:spacing w:line="360" w:lineRule="exact"/>
              <w:jc w:val="center"/>
              <w:rPr>
                <w:rFonts w:ascii="宋体" w:hAnsi="宋体" w:eastAsia="宋体" w:cs="Times New Roman"/>
                <w:sz w:val="24"/>
                <w:szCs w:val="24"/>
                <w:highlight w:val="none"/>
              </w:rPr>
            </w:pPr>
          </w:p>
        </w:tc>
      </w:tr>
      <w:tr w14:paraId="7D8671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DE8A0D5">
            <w:pPr>
              <w:spacing w:line="360" w:lineRule="exact"/>
              <w:jc w:val="center"/>
              <w:rPr>
                <w:rFonts w:ascii="宋体" w:hAnsi="宋体" w:eastAsia="宋体" w:cs="Times New Roman"/>
                <w:sz w:val="24"/>
                <w:szCs w:val="24"/>
                <w:highlight w:val="none"/>
              </w:rPr>
            </w:pPr>
          </w:p>
        </w:tc>
        <w:tc>
          <w:tcPr>
            <w:tcW w:w="2415" w:type="dxa"/>
            <w:vAlign w:val="center"/>
          </w:tcPr>
          <w:p w14:paraId="36CD484F">
            <w:pPr>
              <w:spacing w:line="360" w:lineRule="exact"/>
              <w:jc w:val="center"/>
              <w:rPr>
                <w:rFonts w:ascii="宋体" w:hAnsi="宋体" w:eastAsia="宋体" w:cs="Times New Roman"/>
                <w:sz w:val="24"/>
                <w:szCs w:val="24"/>
                <w:highlight w:val="none"/>
              </w:rPr>
            </w:pPr>
          </w:p>
        </w:tc>
        <w:tc>
          <w:tcPr>
            <w:tcW w:w="2308" w:type="dxa"/>
            <w:vAlign w:val="center"/>
          </w:tcPr>
          <w:p w14:paraId="293EF22E">
            <w:pPr>
              <w:spacing w:line="360" w:lineRule="exact"/>
              <w:jc w:val="center"/>
              <w:rPr>
                <w:rFonts w:ascii="宋体" w:hAnsi="宋体" w:eastAsia="宋体" w:cs="Times New Roman"/>
                <w:sz w:val="24"/>
                <w:szCs w:val="24"/>
                <w:highlight w:val="none"/>
              </w:rPr>
            </w:pPr>
          </w:p>
        </w:tc>
        <w:tc>
          <w:tcPr>
            <w:tcW w:w="1713" w:type="dxa"/>
            <w:vAlign w:val="center"/>
          </w:tcPr>
          <w:p w14:paraId="683EEC54">
            <w:pPr>
              <w:spacing w:line="360" w:lineRule="exact"/>
              <w:jc w:val="center"/>
              <w:rPr>
                <w:rFonts w:ascii="宋体" w:hAnsi="宋体" w:eastAsia="宋体" w:cs="Times New Roman"/>
                <w:sz w:val="24"/>
                <w:szCs w:val="24"/>
                <w:highlight w:val="none"/>
              </w:rPr>
            </w:pPr>
          </w:p>
        </w:tc>
        <w:tc>
          <w:tcPr>
            <w:tcW w:w="1911" w:type="dxa"/>
            <w:vAlign w:val="center"/>
          </w:tcPr>
          <w:p w14:paraId="011A5FB2">
            <w:pPr>
              <w:spacing w:line="360" w:lineRule="exact"/>
              <w:jc w:val="center"/>
              <w:rPr>
                <w:rFonts w:ascii="宋体" w:hAnsi="宋体" w:eastAsia="宋体" w:cs="Times New Roman"/>
                <w:sz w:val="24"/>
                <w:szCs w:val="24"/>
                <w:highlight w:val="none"/>
              </w:rPr>
            </w:pPr>
          </w:p>
        </w:tc>
      </w:tr>
    </w:tbl>
    <w:p w14:paraId="15A0D15B">
      <w:pPr>
        <w:spacing w:line="360" w:lineRule="exact"/>
        <w:jc w:val="center"/>
        <w:rPr>
          <w:rFonts w:ascii="宋体" w:hAnsi="宋体" w:eastAsia="宋体" w:cs="Times New Roman"/>
          <w:b/>
          <w:sz w:val="24"/>
          <w:szCs w:val="24"/>
          <w:highlight w:val="none"/>
        </w:rPr>
      </w:pPr>
      <w:r>
        <w:rPr>
          <w:rFonts w:hint="eastAsia" w:ascii="宋体" w:hAnsi="宋体" w:eastAsia="宋体" w:cs="Times New Roman"/>
          <w:b/>
          <w:sz w:val="24"/>
          <w:szCs w:val="24"/>
          <w:highlight w:val="none"/>
        </w:rPr>
        <w:t>（二）技术要求响应及偏离表</w:t>
      </w:r>
    </w:p>
    <w:tbl>
      <w:tblPr>
        <w:tblStyle w:val="3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545E08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36E1C065">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序号</w:t>
            </w:r>
          </w:p>
        </w:tc>
        <w:tc>
          <w:tcPr>
            <w:tcW w:w="2415" w:type="dxa"/>
            <w:vAlign w:val="center"/>
          </w:tcPr>
          <w:p w14:paraId="40CC8A3F">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招标文件</w:t>
            </w:r>
          </w:p>
          <w:p w14:paraId="4FD03232">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技术要求</w:t>
            </w:r>
          </w:p>
        </w:tc>
        <w:tc>
          <w:tcPr>
            <w:tcW w:w="2308" w:type="dxa"/>
            <w:vAlign w:val="center"/>
          </w:tcPr>
          <w:p w14:paraId="4FA82A8A">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投标文件</w:t>
            </w:r>
          </w:p>
          <w:p w14:paraId="15397D28">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技术规范描述</w:t>
            </w:r>
          </w:p>
        </w:tc>
        <w:tc>
          <w:tcPr>
            <w:tcW w:w="1713" w:type="dxa"/>
            <w:vAlign w:val="center"/>
          </w:tcPr>
          <w:p w14:paraId="159DC734">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有无偏离</w:t>
            </w:r>
          </w:p>
        </w:tc>
        <w:tc>
          <w:tcPr>
            <w:tcW w:w="1911" w:type="dxa"/>
            <w:vAlign w:val="center"/>
          </w:tcPr>
          <w:p w14:paraId="67297E8D">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偏离内容及原因</w:t>
            </w:r>
          </w:p>
        </w:tc>
      </w:tr>
      <w:tr w14:paraId="146417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92D6C9B">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1</w:t>
            </w:r>
          </w:p>
        </w:tc>
        <w:tc>
          <w:tcPr>
            <w:tcW w:w="2415" w:type="dxa"/>
            <w:vAlign w:val="center"/>
          </w:tcPr>
          <w:p w14:paraId="69A484E3">
            <w:pPr>
              <w:spacing w:line="360" w:lineRule="exact"/>
              <w:jc w:val="center"/>
              <w:rPr>
                <w:rFonts w:ascii="宋体" w:hAnsi="宋体" w:eastAsia="宋体" w:cs="Times New Roman"/>
                <w:sz w:val="24"/>
                <w:szCs w:val="24"/>
                <w:highlight w:val="none"/>
              </w:rPr>
            </w:pPr>
          </w:p>
        </w:tc>
        <w:tc>
          <w:tcPr>
            <w:tcW w:w="2308" w:type="dxa"/>
            <w:vAlign w:val="center"/>
          </w:tcPr>
          <w:p w14:paraId="2CFAEAB8">
            <w:pPr>
              <w:spacing w:line="360" w:lineRule="exact"/>
              <w:jc w:val="center"/>
              <w:rPr>
                <w:rFonts w:ascii="宋体" w:hAnsi="宋体" w:eastAsia="宋体" w:cs="Times New Roman"/>
                <w:sz w:val="24"/>
                <w:szCs w:val="24"/>
                <w:highlight w:val="none"/>
              </w:rPr>
            </w:pPr>
          </w:p>
        </w:tc>
        <w:tc>
          <w:tcPr>
            <w:tcW w:w="1713" w:type="dxa"/>
            <w:vAlign w:val="center"/>
          </w:tcPr>
          <w:p w14:paraId="0C041D35">
            <w:pPr>
              <w:spacing w:line="360" w:lineRule="exact"/>
              <w:jc w:val="center"/>
              <w:rPr>
                <w:rFonts w:ascii="宋体" w:hAnsi="宋体" w:eastAsia="宋体" w:cs="Times New Roman"/>
                <w:sz w:val="24"/>
                <w:szCs w:val="24"/>
                <w:highlight w:val="none"/>
              </w:rPr>
            </w:pPr>
          </w:p>
        </w:tc>
        <w:tc>
          <w:tcPr>
            <w:tcW w:w="1911" w:type="dxa"/>
            <w:vAlign w:val="center"/>
          </w:tcPr>
          <w:p w14:paraId="7A47B400">
            <w:pPr>
              <w:spacing w:line="360" w:lineRule="exact"/>
              <w:jc w:val="center"/>
              <w:rPr>
                <w:rFonts w:ascii="宋体" w:hAnsi="宋体" w:eastAsia="宋体" w:cs="Times New Roman"/>
                <w:sz w:val="24"/>
                <w:szCs w:val="24"/>
                <w:highlight w:val="none"/>
              </w:rPr>
            </w:pPr>
          </w:p>
        </w:tc>
      </w:tr>
      <w:tr w14:paraId="1D4E0B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053C132">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2</w:t>
            </w:r>
          </w:p>
        </w:tc>
        <w:tc>
          <w:tcPr>
            <w:tcW w:w="2415" w:type="dxa"/>
            <w:vAlign w:val="center"/>
          </w:tcPr>
          <w:p w14:paraId="2D4D8AC7">
            <w:pPr>
              <w:spacing w:line="360" w:lineRule="exact"/>
              <w:jc w:val="center"/>
              <w:rPr>
                <w:rFonts w:ascii="宋体" w:hAnsi="宋体" w:eastAsia="宋体" w:cs="Times New Roman"/>
                <w:sz w:val="24"/>
                <w:szCs w:val="24"/>
                <w:highlight w:val="none"/>
              </w:rPr>
            </w:pPr>
          </w:p>
        </w:tc>
        <w:tc>
          <w:tcPr>
            <w:tcW w:w="2308" w:type="dxa"/>
            <w:vAlign w:val="center"/>
          </w:tcPr>
          <w:p w14:paraId="076EBA76">
            <w:pPr>
              <w:spacing w:line="360" w:lineRule="exact"/>
              <w:jc w:val="center"/>
              <w:rPr>
                <w:rFonts w:ascii="宋体" w:hAnsi="宋体" w:eastAsia="宋体" w:cs="Times New Roman"/>
                <w:sz w:val="24"/>
                <w:szCs w:val="24"/>
                <w:highlight w:val="none"/>
              </w:rPr>
            </w:pPr>
          </w:p>
        </w:tc>
        <w:tc>
          <w:tcPr>
            <w:tcW w:w="1713" w:type="dxa"/>
            <w:vAlign w:val="center"/>
          </w:tcPr>
          <w:p w14:paraId="01244C50">
            <w:pPr>
              <w:spacing w:line="360" w:lineRule="exact"/>
              <w:jc w:val="center"/>
              <w:rPr>
                <w:rFonts w:ascii="宋体" w:hAnsi="宋体" w:eastAsia="宋体" w:cs="Times New Roman"/>
                <w:sz w:val="24"/>
                <w:szCs w:val="24"/>
                <w:highlight w:val="none"/>
              </w:rPr>
            </w:pPr>
          </w:p>
        </w:tc>
        <w:tc>
          <w:tcPr>
            <w:tcW w:w="1911" w:type="dxa"/>
            <w:vAlign w:val="center"/>
          </w:tcPr>
          <w:p w14:paraId="7BB8E4F8">
            <w:pPr>
              <w:spacing w:line="360" w:lineRule="exact"/>
              <w:jc w:val="center"/>
              <w:rPr>
                <w:rFonts w:ascii="宋体" w:hAnsi="宋体" w:eastAsia="宋体" w:cs="Times New Roman"/>
                <w:sz w:val="24"/>
                <w:szCs w:val="24"/>
                <w:highlight w:val="none"/>
              </w:rPr>
            </w:pPr>
          </w:p>
        </w:tc>
      </w:tr>
      <w:tr w14:paraId="4A80FD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63C37A4">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3</w:t>
            </w:r>
          </w:p>
        </w:tc>
        <w:tc>
          <w:tcPr>
            <w:tcW w:w="2415" w:type="dxa"/>
            <w:vAlign w:val="center"/>
          </w:tcPr>
          <w:p w14:paraId="6B28BA91">
            <w:pPr>
              <w:spacing w:line="360" w:lineRule="exact"/>
              <w:jc w:val="center"/>
              <w:rPr>
                <w:rFonts w:ascii="宋体" w:hAnsi="宋体" w:eastAsia="宋体" w:cs="Times New Roman"/>
                <w:sz w:val="24"/>
                <w:szCs w:val="24"/>
                <w:highlight w:val="none"/>
              </w:rPr>
            </w:pPr>
          </w:p>
        </w:tc>
        <w:tc>
          <w:tcPr>
            <w:tcW w:w="2308" w:type="dxa"/>
            <w:vAlign w:val="center"/>
          </w:tcPr>
          <w:p w14:paraId="75BF4903">
            <w:pPr>
              <w:spacing w:line="360" w:lineRule="exact"/>
              <w:jc w:val="center"/>
              <w:rPr>
                <w:rFonts w:ascii="宋体" w:hAnsi="宋体" w:eastAsia="宋体" w:cs="Times New Roman"/>
                <w:sz w:val="24"/>
                <w:szCs w:val="24"/>
                <w:highlight w:val="none"/>
              </w:rPr>
            </w:pPr>
          </w:p>
        </w:tc>
        <w:tc>
          <w:tcPr>
            <w:tcW w:w="1713" w:type="dxa"/>
            <w:vAlign w:val="center"/>
          </w:tcPr>
          <w:p w14:paraId="53F2BBEC">
            <w:pPr>
              <w:spacing w:line="360" w:lineRule="exact"/>
              <w:jc w:val="center"/>
              <w:rPr>
                <w:rFonts w:ascii="宋体" w:hAnsi="宋体" w:eastAsia="宋体" w:cs="Times New Roman"/>
                <w:sz w:val="24"/>
                <w:szCs w:val="24"/>
                <w:highlight w:val="none"/>
              </w:rPr>
            </w:pPr>
          </w:p>
        </w:tc>
        <w:tc>
          <w:tcPr>
            <w:tcW w:w="1911" w:type="dxa"/>
            <w:vAlign w:val="center"/>
          </w:tcPr>
          <w:p w14:paraId="3B887331">
            <w:pPr>
              <w:spacing w:line="360" w:lineRule="exact"/>
              <w:jc w:val="center"/>
              <w:rPr>
                <w:rFonts w:ascii="宋体" w:hAnsi="宋体" w:eastAsia="宋体" w:cs="Times New Roman"/>
                <w:sz w:val="24"/>
                <w:szCs w:val="24"/>
                <w:highlight w:val="none"/>
              </w:rPr>
            </w:pPr>
          </w:p>
        </w:tc>
      </w:tr>
      <w:tr w14:paraId="049386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CE1E62C">
            <w:pPr>
              <w:spacing w:line="36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tc>
        <w:tc>
          <w:tcPr>
            <w:tcW w:w="2415" w:type="dxa"/>
            <w:vAlign w:val="center"/>
          </w:tcPr>
          <w:p w14:paraId="5533D488">
            <w:pPr>
              <w:spacing w:line="360" w:lineRule="exact"/>
              <w:jc w:val="center"/>
              <w:rPr>
                <w:rFonts w:ascii="宋体" w:hAnsi="宋体" w:eastAsia="宋体" w:cs="Times New Roman"/>
                <w:sz w:val="24"/>
                <w:szCs w:val="24"/>
                <w:highlight w:val="none"/>
              </w:rPr>
            </w:pPr>
          </w:p>
        </w:tc>
        <w:tc>
          <w:tcPr>
            <w:tcW w:w="2308" w:type="dxa"/>
            <w:vAlign w:val="center"/>
          </w:tcPr>
          <w:p w14:paraId="350C4293">
            <w:pPr>
              <w:spacing w:line="360" w:lineRule="exact"/>
              <w:jc w:val="center"/>
              <w:rPr>
                <w:rFonts w:ascii="宋体" w:hAnsi="宋体" w:eastAsia="宋体" w:cs="Times New Roman"/>
                <w:sz w:val="24"/>
                <w:szCs w:val="24"/>
                <w:highlight w:val="none"/>
              </w:rPr>
            </w:pPr>
          </w:p>
        </w:tc>
        <w:tc>
          <w:tcPr>
            <w:tcW w:w="1713" w:type="dxa"/>
            <w:vAlign w:val="center"/>
          </w:tcPr>
          <w:p w14:paraId="2F6B3549">
            <w:pPr>
              <w:spacing w:line="360" w:lineRule="exact"/>
              <w:jc w:val="center"/>
              <w:rPr>
                <w:rFonts w:ascii="宋体" w:hAnsi="宋体" w:eastAsia="宋体" w:cs="Times New Roman"/>
                <w:sz w:val="24"/>
                <w:szCs w:val="24"/>
                <w:highlight w:val="none"/>
              </w:rPr>
            </w:pPr>
          </w:p>
        </w:tc>
        <w:tc>
          <w:tcPr>
            <w:tcW w:w="1911" w:type="dxa"/>
            <w:vAlign w:val="center"/>
          </w:tcPr>
          <w:p w14:paraId="3BC84C2B">
            <w:pPr>
              <w:spacing w:line="360" w:lineRule="exact"/>
              <w:jc w:val="center"/>
              <w:rPr>
                <w:rFonts w:ascii="宋体" w:hAnsi="宋体" w:eastAsia="宋体" w:cs="Times New Roman"/>
                <w:sz w:val="24"/>
                <w:szCs w:val="24"/>
                <w:highlight w:val="none"/>
              </w:rPr>
            </w:pPr>
          </w:p>
        </w:tc>
      </w:tr>
      <w:tr w14:paraId="459058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BAA6019">
            <w:pPr>
              <w:spacing w:line="360" w:lineRule="exact"/>
              <w:jc w:val="center"/>
              <w:rPr>
                <w:rFonts w:ascii="宋体" w:hAnsi="宋体" w:eastAsia="宋体" w:cs="Times New Roman"/>
                <w:sz w:val="24"/>
                <w:szCs w:val="24"/>
                <w:highlight w:val="none"/>
              </w:rPr>
            </w:pPr>
          </w:p>
        </w:tc>
        <w:tc>
          <w:tcPr>
            <w:tcW w:w="2415" w:type="dxa"/>
            <w:vAlign w:val="center"/>
          </w:tcPr>
          <w:p w14:paraId="2B4DC7A2">
            <w:pPr>
              <w:spacing w:line="360" w:lineRule="exact"/>
              <w:jc w:val="center"/>
              <w:rPr>
                <w:rFonts w:ascii="宋体" w:hAnsi="宋体" w:eastAsia="宋体" w:cs="Times New Roman"/>
                <w:sz w:val="24"/>
                <w:szCs w:val="24"/>
                <w:highlight w:val="none"/>
              </w:rPr>
            </w:pPr>
          </w:p>
        </w:tc>
        <w:tc>
          <w:tcPr>
            <w:tcW w:w="2308" w:type="dxa"/>
            <w:vAlign w:val="center"/>
          </w:tcPr>
          <w:p w14:paraId="71726AB7">
            <w:pPr>
              <w:spacing w:line="360" w:lineRule="exact"/>
              <w:jc w:val="center"/>
              <w:rPr>
                <w:rFonts w:ascii="宋体" w:hAnsi="宋体" w:eastAsia="宋体" w:cs="Times New Roman"/>
                <w:sz w:val="24"/>
                <w:szCs w:val="24"/>
                <w:highlight w:val="none"/>
              </w:rPr>
            </w:pPr>
          </w:p>
        </w:tc>
        <w:tc>
          <w:tcPr>
            <w:tcW w:w="1713" w:type="dxa"/>
            <w:vAlign w:val="center"/>
          </w:tcPr>
          <w:p w14:paraId="71871B36">
            <w:pPr>
              <w:spacing w:line="360" w:lineRule="exact"/>
              <w:jc w:val="center"/>
              <w:rPr>
                <w:rFonts w:ascii="宋体" w:hAnsi="宋体" w:eastAsia="宋体" w:cs="Times New Roman"/>
                <w:sz w:val="24"/>
                <w:szCs w:val="24"/>
                <w:highlight w:val="none"/>
              </w:rPr>
            </w:pPr>
          </w:p>
        </w:tc>
        <w:tc>
          <w:tcPr>
            <w:tcW w:w="1911" w:type="dxa"/>
            <w:vAlign w:val="center"/>
          </w:tcPr>
          <w:p w14:paraId="2E13C606">
            <w:pPr>
              <w:spacing w:line="360" w:lineRule="exact"/>
              <w:jc w:val="center"/>
              <w:rPr>
                <w:rFonts w:ascii="宋体" w:hAnsi="宋体" w:eastAsia="宋体" w:cs="Times New Roman"/>
                <w:sz w:val="24"/>
                <w:szCs w:val="24"/>
                <w:highlight w:val="none"/>
              </w:rPr>
            </w:pPr>
          </w:p>
        </w:tc>
      </w:tr>
    </w:tbl>
    <w:p w14:paraId="7D89CA41">
      <w:pPr>
        <w:spacing w:line="360" w:lineRule="exact"/>
        <w:rPr>
          <w:rFonts w:ascii="宋体" w:hAnsi="宋体" w:eastAsia="宋体" w:cs="Times New Roman"/>
          <w:szCs w:val="21"/>
          <w:highlight w:val="none"/>
        </w:rPr>
      </w:pPr>
    </w:p>
    <w:p w14:paraId="0704FD19">
      <w:pPr>
        <w:spacing w:line="360" w:lineRule="exact"/>
        <w:rPr>
          <w:rFonts w:ascii="宋体" w:hAnsi="宋体" w:eastAsia="宋体" w:cs="Times New Roman"/>
          <w:b/>
          <w:szCs w:val="21"/>
          <w:highlight w:val="none"/>
        </w:rPr>
      </w:pPr>
      <w:r>
        <w:rPr>
          <w:rFonts w:hint="eastAsia" w:ascii="宋体" w:hAnsi="宋体" w:eastAsia="宋体" w:cs="Times New Roman"/>
          <w:szCs w:val="21"/>
          <w:highlight w:val="none"/>
        </w:rPr>
        <w:t>注：1、投标单位应据实、详细填写上述表格，因未标明或表述含糊导致的评审风险将由投标单位承担。</w:t>
      </w:r>
    </w:p>
    <w:p w14:paraId="5592F9C5">
      <w:pPr>
        <w:spacing w:line="360" w:lineRule="exact"/>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2、质保期、工期、付款方式、售后服务等商务响应情况在“商务要求响应及偏离表”填写。产品技术参数要求响应等技术响应情况在“技术要求响应及偏离表”填写。</w:t>
      </w:r>
    </w:p>
    <w:p w14:paraId="3C5AC5F1">
      <w:pPr>
        <w:spacing w:line="360" w:lineRule="exact"/>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77AB4915">
      <w:pPr>
        <w:spacing w:line="360" w:lineRule="exact"/>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4、“投标文件技术规范描述”完全照抄“招标文件技术要求”的，有被判定为负偏离的风险。</w:t>
      </w:r>
    </w:p>
    <w:p w14:paraId="07D1C8C3">
      <w:pPr>
        <w:spacing w:line="360" w:lineRule="exact"/>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5、表格不够可另接。</w:t>
      </w:r>
    </w:p>
    <w:p w14:paraId="319A2D77">
      <w:pPr>
        <w:spacing w:line="400" w:lineRule="exact"/>
        <w:ind w:firstLine="3600" w:firstLineChars="1500"/>
        <w:jc w:val="left"/>
        <w:rPr>
          <w:rFonts w:ascii="宋体" w:hAnsi="宋体" w:eastAsia="宋体" w:cs="Times New Roman"/>
          <w:bCs/>
          <w:sz w:val="24"/>
          <w:szCs w:val="24"/>
          <w:highlight w:val="none"/>
        </w:rPr>
      </w:pPr>
    </w:p>
    <w:p w14:paraId="0C0071E5">
      <w:pPr>
        <w:spacing w:line="400" w:lineRule="exact"/>
        <w:ind w:firstLine="3600" w:firstLineChars="1500"/>
        <w:jc w:val="left"/>
        <w:rPr>
          <w:rFonts w:ascii="宋体" w:hAnsi="宋体" w:eastAsia="宋体" w:cs="Times New Roman"/>
          <w:bCs/>
          <w:sz w:val="24"/>
          <w:szCs w:val="24"/>
          <w:highlight w:val="none"/>
        </w:rPr>
      </w:pPr>
    </w:p>
    <w:p w14:paraId="6379ED43">
      <w:pPr>
        <w:spacing w:line="400" w:lineRule="exact"/>
        <w:ind w:firstLine="3600" w:firstLineChars="1500"/>
        <w:jc w:val="lef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投标单位（电子签章）：</w:t>
      </w:r>
    </w:p>
    <w:p w14:paraId="08308E50">
      <w:pPr>
        <w:spacing w:line="400" w:lineRule="exact"/>
        <w:ind w:firstLine="3600" w:firstLineChars="1500"/>
        <w:jc w:val="left"/>
        <w:rPr>
          <w:rFonts w:ascii="宋体" w:hAnsi="宋体" w:eastAsia="宋体" w:cs="Times New Roman"/>
          <w:bCs/>
          <w:sz w:val="24"/>
          <w:szCs w:val="24"/>
          <w:highlight w:val="none"/>
        </w:rPr>
      </w:pPr>
    </w:p>
    <w:p w14:paraId="1B63B5C7">
      <w:pPr>
        <w:spacing w:line="400" w:lineRule="exact"/>
        <w:ind w:firstLine="3600" w:firstLineChars="1500"/>
        <w:jc w:val="left"/>
        <w:rPr>
          <w:rFonts w:ascii="宋体" w:hAnsi="宋体" w:eastAsia="宋体" w:cs="Times New Roman"/>
          <w:sz w:val="24"/>
          <w:szCs w:val="24"/>
          <w:highlight w:val="none"/>
        </w:rPr>
      </w:pPr>
      <w:r>
        <w:rPr>
          <w:rFonts w:hint="eastAsia" w:ascii="宋体" w:hAnsi="宋体" w:eastAsia="宋体" w:cs="Times New Roman"/>
          <w:bCs/>
          <w:sz w:val="24"/>
          <w:szCs w:val="24"/>
          <w:highlight w:val="none"/>
        </w:rPr>
        <w:t>日期：     年    月    日</w:t>
      </w:r>
    </w:p>
    <w:p w14:paraId="57B53C1B">
      <w:pPr>
        <w:spacing w:line="360" w:lineRule="exact"/>
        <w:jc w:val="center"/>
        <w:rPr>
          <w:rFonts w:ascii="宋体" w:hAnsi="宋体" w:eastAsia="宋体" w:cs="Times New Roman"/>
          <w:sz w:val="24"/>
          <w:szCs w:val="24"/>
          <w:highlight w:val="none"/>
        </w:rPr>
      </w:pPr>
    </w:p>
    <w:p w14:paraId="5813D843">
      <w:pPr>
        <w:spacing w:line="400" w:lineRule="exact"/>
        <w:jc w:val="center"/>
        <w:rPr>
          <w:rFonts w:ascii="宋体" w:hAnsi="宋体" w:eastAsia="宋体" w:cs="Times New Roman"/>
          <w:sz w:val="24"/>
          <w:szCs w:val="24"/>
          <w:highlight w:val="none"/>
        </w:rPr>
        <w:sectPr>
          <w:pgSz w:w="11906" w:h="16838"/>
          <w:pgMar w:top="1247" w:right="1247" w:bottom="1247" w:left="1247" w:header="680" w:footer="992" w:gutter="0"/>
          <w:pgNumType w:fmt="numberInDash"/>
          <w:cols w:space="720" w:num="1"/>
          <w:docGrid w:linePitch="312" w:charSpace="0"/>
        </w:sectPr>
      </w:pPr>
    </w:p>
    <w:p w14:paraId="47E74C0D">
      <w:pPr>
        <w:spacing w:line="360" w:lineRule="exact"/>
        <w:ind w:firstLine="420" w:firstLineChars="200"/>
        <w:rPr>
          <w:rFonts w:ascii="宋体" w:hAnsi="宋体" w:eastAsia="宋体" w:cs="Times New Roman"/>
          <w:szCs w:val="21"/>
          <w:highlight w:val="none"/>
        </w:rPr>
      </w:pPr>
    </w:p>
    <w:p w14:paraId="2079BAC3">
      <w:pPr>
        <w:keepNext/>
        <w:keepLines/>
        <w:spacing w:line="400" w:lineRule="exact"/>
        <w:jc w:val="center"/>
        <w:rPr>
          <w:rFonts w:ascii="黑体" w:hAnsi="黑体" w:eastAsia="黑体" w:cs="Times New Roman"/>
          <w:sz w:val="28"/>
          <w:szCs w:val="28"/>
          <w:highlight w:val="none"/>
        </w:rPr>
      </w:pPr>
      <w:r>
        <w:rPr>
          <w:rFonts w:hint="eastAsia" w:ascii="黑体" w:hAnsi="黑体" w:eastAsia="黑体" w:cs="Times New Roman"/>
          <w:sz w:val="28"/>
          <w:szCs w:val="28"/>
          <w:highlight w:val="none"/>
        </w:rPr>
        <w:t>五、法定代表人授权委托书</w:t>
      </w:r>
    </w:p>
    <w:p w14:paraId="6AF6BC93">
      <w:pPr>
        <w:spacing w:line="400" w:lineRule="exact"/>
        <w:jc w:val="center"/>
        <w:rPr>
          <w:rFonts w:ascii="仿宋" w:hAnsi="仿宋" w:eastAsia="仿宋" w:cs="Times New Roman"/>
          <w:b/>
          <w:bCs/>
          <w:sz w:val="24"/>
          <w:szCs w:val="24"/>
          <w:highlight w:val="none"/>
        </w:rPr>
      </w:pPr>
      <w:r>
        <w:rPr>
          <w:rFonts w:hint="eastAsia" w:ascii="仿宋" w:hAnsi="仿宋" w:eastAsia="仿宋" w:cs="Times New Roman"/>
          <w:b/>
          <w:bCs/>
          <w:sz w:val="24"/>
          <w:szCs w:val="24"/>
          <w:highlight w:val="none"/>
        </w:rPr>
        <w:t>（若法定代表人亲自参加投标的，请提供《法定代表人亲自投标声明》）</w:t>
      </w:r>
    </w:p>
    <w:p w14:paraId="1DDD3CC3">
      <w:pPr>
        <w:ind w:left="1470" w:leftChars="700" w:right="1470" w:rightChars="700"/>
        <w:rPr>
          <w:rFonts w:ascii="宋体" w:hAnsi="宋体" w:eastAsia="宋体" w:cs="Times New Roman"/>
          <w:sz w:val="24"/>
          <w:szCs w:val="24"/>
          <w:highlight w:val="none"/>
        </w:rPr>
      </w:pPr>
    </w:p>
    <w:p w14:paraId="187A5BDB">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江阴市政府采购中心：</w:t>
      </w:r>
    </w:p>
    <w:p w14:paraId="061492D5">
      <w:pPr>
        <w:spacing w:line="400" w:lineRule="exact"/>
        <w:ind w:firstLine="480" w:firstLineChars="200"/>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系中华人民共和国合法企业。法定地址：</w:t>
      </w:r>
      <w:r>
        <w:rPr>
          <w:rFonts w:hint="eastAsia" w:ascii="宋体" w:hAnsi="宋体" w:eastAsia="宋体" w:cs="Times New Roman"/>
          <w:bCs/>
          <w:sz w:val="24"/>
          <w:szCs w:val="24"/>
          <w:highlight w:val="none"/>
          <w:u w:val="single"/>
        </w:rPr>
        <w:t>　　　　　　　　　　　　　　　　　　　　　　　　　　　　　　　　　</w:t>
      </w:r>
    </w:p>
    <w:p w14:paraId="49BCEC3D">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特授权</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代表我公司（单位）全权办理针对</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项目（项目编号：</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）的投标、参与评标、签约等具体工作，并签署全部有关的文件、协议及合同。</w:t>
      </w:r>
    </w:p>
    <w:p w14:paraId="301CA217">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我公司（单位）对授权委托人的签名负全部责任。</w:t>
      </w:r>
    </w:p>
    <w:p w14:paraId="159D852C">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在撤销授权的书面通知送达你处以前，本授权书一直有效，授权委托人签署的所有文件（在授权书有效期内签署的）不因授权的撤销而失效。授权委托人无转委托权。</w:t>
      </w:r>
    </w:p>
    <w:p w14:paraId="46A099D0">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授权委托人情况：</w:t>
      </w:r>
    </w:p>
    <w:p w14:paraId="04B0CCAA">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姓名：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性别：</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年龄：</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职务：</w:t>
      </w:r>
      <w:r>
        <w:rPr>
          <w:rFonts w:hint="eastAsia" w:ascii="宋体" w:hAnsi="宋体" w:eastAsia="宋体" w:cs="Times New Roman"/>
          <w:bCs/>
          <w:sz w:val="24"/>
          <w:szCs w:val="24"/>
          <w:highlight w:val="none"/>
          <w:u w:val="single"/>
        </w:rPr>
        <w:t xml:space="preserve">             </w:t>
      </w:r>
    </w:p>
    <w:p w14:paraId="504C8464">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身份证号码：</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电话：</w:t>
      </w:r>
      <w:r>
        <w:rPr>
          <w:rFonts w:hint="eastAsia" w:ascii="宋体" w:hAnsi="宋体" w:eastAsia="宋体" w:cs="Times New Roman"/>
          <w:bCs/>
          <w:sz w:val="24"/>
          <w:szCs w:val="24"/>
          <w:highlight w:val="none"/>
          <w:u w:val="single"/>
        </w:rPr>
        <w:t xml:space="preserve">                     </w:t>
      </w:r>
    </w:p>
    <w:p w14:paraId="747E547D">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通讯地址：</w:t>
      </w:r>
      <w:r>
        <w:rPr>
          <w:rFonts w:hint="eastAsia" w:ascii="宋体" w:hAnsi="宋体" w:eastAsia="宋体" w:cs="Times New Roman"/>
          <w:bCs/>
          <w:sz w:val="24"/>
          <w:szCs w:val="24"/>
          <w:highlight w:val="none"/>
          <w:u w:val="single"/>
        </w:rPr>
        <w:t xml:space="preserve">                                                     </w:t>
      </w:r>
    </w:p>
    <w:p w14:paraId="226756F8">
      <w:pPr>
        <w:spacing w:line="400" w:lineRule="exact"/>
        <w:ind w:firstLine="4200" w:firstLineChars="175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单位名称（盖章）：</w:t>
      </w:r>
      <w:r>
        <w:rPr>
          <w:rFonts w:hint="eastAsia" w:ascii="宋体" w:hAnsi="宋体" w:eastAsia="宋体" w:cs="Times New Roman"/>
          <w:bCs/>
          <w:sz w:val="24"/>
          <w:szCs w:val="24"/>
          <w:highlight w:val="none"/>
          <w:u w:val="single"/>
        </w:rPr>
        <w:t xml:space="preserve">               </w:t>
      </w:r>
    </w:p>
    <w:p w14:paraId="02008572">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法定代表人（签名或盖章）：</w:t>
      </w:r>
      <w:r>
        <w:rPr>
          <w:rFonts w:hint="eastAsia" w:ascii="宋体" w:hAnsi="宋体" w:eastAsia="宋体" w:cs="Times New Roman"/>
          <w:bCs/>
          <w:sz w:val="24"/>
          <w:szCs w:val="24"/>
          <w:highlight w:val="none"/>
          <w:u w:val="single"/>
        </w:rPr>
        <w:t xml:space="preserve">                </w:t>
      </w:r>
    </w:p>
    <w:p w14:paraId="0AAE2962">
      <w:pPr>
        <w:spacing w:line="400" w:lineRule="exact"/>
        <w:jc w:val="center"/>
        <w:rPr>
          <w:rFonts w:ascii="宋体" w:hAnsi="宋体" w:eastAsia="宋体" w:cs="Times New Roman"/>
          <w:b/>
          <w:bCs/>
          <w:sz w:val="24"/>
          <w:szCs w:val="24"/>
          <w:highlight w:val="none"/>
        </w:rPr>
      </w:pPr>
    </w:p>
    <w:p w14:paraId="1C601E67">
      <w:pPr>
        <w:spacing w:line="400" w:lineRule="exact"/>
        <w:jc w:val="center"/>
        <w:rPr>
          <w:rFonts w:ascii="宋体" w:hAnsi="宋体" w:eastAsia="宋体" w:cs="Times New Roman"/>
          <w:bCs/>
          <w:sz w:val="24"/>
          <w:szCs w:val="24"/>
          <w:highlight w:val="none"/>
        </w:rPr>
      </w:pPr>
    </w:p>
    <w:p w14:paraId="4E5892BB">
      <w:pPr>
        <w:spacing w:line="400" w:lineRule="exact"/>
        <w:jc w:val="center"/>
        <w:rPr>
          <w:rFonts w:ascii="宋体" w:hAnsi="宋体" w:eastAsia="宋体" w:cs="Times New Roman"/>
          <w:bCs/>
          <w:sz w:val="24"/>
          <w:szCs w:val="24"/>
          <w:highlight w:val="none"/>
        </w:rPr>
      </w:pPr>
    </w:p>
    <w:tbl>
      <w:tblPr>
        <w:tblStyle w:val="32"/>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289C8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45F3947D">
            <w:pPr>
              <w:spacing w:line="400" w:lineRule="exact"/>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法定代表人身份证</w:t>
            </w:r>
          </w:p>
          <w:p w14:paraId="3E114249">
            <w:pPr>
              <w:spacing w:line="400" w:lineRule="exact"/>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扫描件</w:t>
            </w:r>
          </w:p>
        </w:tc>
        <w:tc>
          <w:tcPr>
            <w:tcW w:w="2843" w:type="dxa"/>
            <w:tcBorders>
              <w:top w:val="nil"/>
              <w:bottom w:val="nil"/>
            </w:tcBorders>
          </w:tcPr>
          <w:p w14:paraId="2B64DE57">
            <w:pPr>
              <w:spacing w:line="400" w:lineRule="exact"/>
              <w:rPr>
                <w:rFonts w:ascii="宋体" w:hAnsi="宋体" w:eastAsia="宋体" w:cs="Times New Roman"/>
                <w:bCs/>
                <w:sz w:val="24"/>
                <w:szCs w:val="24"/>
                <w:highlight w:val="none"/>
              </w:rPr>
            </w:pPr>
          </w:p>
        </w:tc>
        <w:tc>
          <w:tcPr>
            <w:tcW w:w="2843" w:type="dxa"/>
            <w:vAlign w:val="center"/>
          </w:tcPr>
          <w:p w14:paraId="6DCF7DAB">
            <w:pPr>
              <w:spacing w:line="400" w:lineRule="exact"/>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授权委托人身份证</w:t>
            </w:r>
          </w:p>
          <w:p w14:paraId="60DA60ED">
            <w:pPr>
              <w:spacing w:line="400" w:lineRule="exact"/>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扫描件</w:t>
            </w:r>
          </w:p>
        </w:tc>
      </w:tr>
    </w:tbl>
    <w:p w14:paraId="6C8905B6">
      <w:pPr>
        <w:spacing w:line="400" w:lineRule="exact"/>
        <w:rPr>
          <w:rFonts w:ascii="宋体" w:hAnsi="宋体" w:eastAsia="宋体" w:cs="Times New Roman"/>
          <w:b/>
          <w:bCs/>
          <w:sz w:val="24"/>
          <w:szCs w:val="24"/>
          <w:highlight w:val="none"/>
        </w:rPr>
      </w:pPr>
    </w:p>
    <w:p w14:paraId="520B5613">
      <w:pPr>
        <w:spacing w:line="400" w:lineRule="exact"/>
        <w:rPr>
          <w:rFonts w:ascii="宋体" w:hAnsi="宋体" w:eastAsia="宋体" w:cs="Times New Roman"/>
          <w:b/>
          <w:bCs/>
          <w:sz w:val="24"/>
          <w:szCs w:val="24"/>
          <w:highlight w:val="none"/>
        </w:rPr>
      </w:pPr>
    </w:p>
    <w:p w14:paraId="39DE2864">
      <w:pPr>
        <w:spacing w:line="400" w:lineRule="exact"/>
        <w:rPr>
          <w:rFonts w:ascii="宋体" w:hAnsi="宋体" w:eastAsia="宋体" w:cs="Times New Roman"/>
          <w:b/>
          <w:bCs/>
          <w:sz w:val="24"/>
          <w:szCs w:val="24"/>
          <w:highlight w:val="none"/>
        </w:rPr>
      </w:pPr>
    </w:p>
    <w:p w14:paraId="65D85E84">
      <w:pPr>
        <w:spacing w:line="400" w:lineRule="exact"/>
        <w:rPr>
          <w:rFonts w:ascii="宋体" w:hAnsi="宋体" w:eastAsia="宋体" w:cs="Times New Roman"/>
          <w:b/>
          <w:bCs/>
          <w:sz w:val="24"/>
          <w:szCs w:val="24"/>
          <w:highlight w:val="none"/>
        </w:rPr>
      </w:pPr>
    </w:p>
    <w:p w14:paraId="2A471666">
      <w:pPr>
        <w:spacing w:line="400" w:lineRule="exact"/>
        <w:rPr>
          <w:rFonts w:ascii="宋体" w:hAnsi="宋体" w:eastAsia="宋体" w:cs="Times New Roman"/>
          <w:b/>
          <w:bCs/>
          <w:sz w:val="24"/>
          <w:szCs w:val="24"/>
          <w:highlight w:val="none"/>
        </w:rPr>
      </w:pPr>
    </w:p>
    <w:p w14:paraId="56B07C01">
      <w:pPr>
        <w:spacing w:line="400" w:lineRule="exact"/>
        <w:ind w:firstLine="482" w:firstLineChars="200"/>
        <w:rPr>
          <w:rFonts w:ascii="宋体" w:hAnsi="宋体" w:eastAsia="宋体" w:cs="Times New Roman"/>
          <w:b/>
          <w:bCs/>
          <w:sz w:val="24"/>
          <w:szCs w:val="24"/>
          <w:highlight w:val="none"/>
        </w:rPr>
      </w:pPr>
    </w:p>
    <w:p w14:paraId="66C58A1C">
      <w:pPr>
        <w:ind w:right="1470" w:rightChars="700"/>
        <w:rPr>
          <w:rFonts w:ascii="宋体" w:hAnsi="宋体" w:eastAsia="宋体" w:cs="Times New Roman"/>
          <w:sz w:val="24"/>
          <w:szCs w:val="24"/>
          <w:highlight w:val="none"/>
        </w:rPr>
      </w:pPr>
    </w:p>
    <w:p w14:paraId="04FFC611">
      <w:pPr>
        <w:keepNext/>
        <w:keepLines/>
        <w:spacing w:line="400" w:lineRule="exact"/>
        <w:jc w:val="center"/>
        <w:rPr>
          <w:rFonts w:ascii="黑体" w:hAnsi="黑体" w:eastAsia="黑体" w:cs="Times New Roman"/>
          <w:sz w:val="28"/>
          <w:szCs w:val="28"/>
          <w:highlight w:val="none"/>
        </w:rPr>
      </w:pPr>
    </w:p>
    <w:p w14:paraId="4AF4A7E2">
      <w:pPr>
        <w:keepNext/>
        <w:keepLines/>
        <w:spacing w:line="400" w:lineRule="exact"/>
        <w:jc w:val="center"/>
        <w:rPr>
          <w:rFonts w:ascii="黑体" w:hAnsi="黑体" w:eastAsia="黑体" w:cs="Times New Roman"/>
          <w:sz w:val="28"/>
          <w:szCs w:val="28"/>
          <w:highlight w:val="none"/>
        </w:rPr>
      </w:pPr>
      <w:r>
        <w:rPr>
          <w:rFonts w:hint="eastAsia" w:ascii="黑体" w:hAnsi="黑体" w:eastAsia="黑体" w:cs="Times New Roman"/>
          <w:sz w:val="28"/>
          <w:szCs w:val="28"/>
          <w:highlight w:val="none"/>
        </w:rPr>
        <w:t>法定代表人亲自投标声明</w:t>
      </w:r>
    </w:p>
    <w:p w14:paraId="6D9E9403">
      <w:pPr>
        <w:rPr>
          <w:rFonts w:ascii="宋体" w:hAnsi="宋体" w:eastAsia="宋体" w:cs="Times New Roman"/>
          <w:sz w:val="24"/>
          <w:szCs w:val="24"/>
          <w:highlight w:val="none"/>
        </w:rPr>
      </w:pPr>
    </w:p>
    <w:p w14:paraId="05DF7118">
      <w:pPr>
        <w:ind w:left="1470" w:leftChars="700" w:right="1470" w:rightChars="700"/>
        <w:rPr>
          <w:rFonts w:ascii="宋体" w:hAnsi="宋体" w:eastAsia="宋体" w:cs="Times New Roman"/>
          <w:sz w:val="24"/>
          <w:szCs w:val="24"/>
          <w:highlight w:val="none"/>
        </w:rPr>
      </w:pPr>
    </w:p>
    <w:p w14:paraId="2C274F87">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江阴市政府采购中心：</w:t>
      </w:r>
    </w:p>
    <w:p w14:paraId="5BDE3E06">
      <w:pPr>
        <w:spacing w:line="400" w:lineRule="exact"/>
        <w:ind w:firstLine="480" w:firstLineChars="200"/>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u w:val="single"/>
        </w:rPr>
        <w:t>　　　　　　　　　　　　　　　　　　　　　　　</w:t>
      </w:r>
      <w:r>
        <w:rPr>
          <w:rFonts w:hint="eastAsia" w:ascii="宋体" w:hAnsi="宋体" w:eastAsia="宋体" w:cs="Times New Roman"/>
          <w:bCs/>
          <w:sz w:val="24"/>
          <w:szCs w:val="24"/>
          <w:highlight w:val="none"/>
        </w:rPr>
        <w:t>系中华人民共和国合法企业。法定地址：</w:t>
      </w:r>
      <w:r>
        <w:rPr>
          <w:rFonts w:hint="eastAsia" w:ascii="宋体" w:hAnsi="宋体" w:eastAsia="宋体" w:cs="Times New Roman"/>
          <w:bCs/>
          <w:sz w:val="24"/>
          <w:szCs w:val="24"/>
          <w:highlight w:val="none"/>
          <w:u w:val="single"/>
        </w:rPr>
        <w:t>　　　　　　　　　　　　　　　　　　　　　　　　　　　　　　　　　</w:t>
      </w:r>
    </w:p>
    <w:p w14:paraId="4CD08AA4">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项目（项目编号：</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）由我单位法定代表人亲自参加投标、评标、签约等具体工作，并签署全部有关的文件、协议及合同。</w:t>
      </w:r>
    </w:p>
    <w:p w14:paraId="754DB1DE">
      <w:pPr>
        <w:ind w:left="1470" w:leftChars="700" w:right="1470" w:rightChars="700"/>
        <w:rPr>
          <w:rFonts w:ascii="宋体" w:hAnsi="宋体" w:eastAsia="宋体" w:cs="Times New Roman"/>
          <w:sz w:val="24"/>
          <w:szCs w:val="24"/>
          <w:highlight w:val="none"/>
        </w:rPr>
      </w:pPr>
    </w:p>
    <w:p w14:paraId="455735A6">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法定代表人情况：</w:t>
      </w:r>
    </w:p>
    <w:p w14:paraId="10686581">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姓名：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性别：</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年龄：</w:t>
      </w:r>
      <w:r>
        <w:rPr>
          <w:rFonts w:hint="eastAsia" w:ascii="宋体" w:hAnsi="宋体" w:eastAsia="宋体" w:cs="Times New Roman"/>
          <w:bCs/>
          <w:sz w:val="24"/>
          <w:szCs w:val="24"/>
          <w:highlight w:val="none"/>
          <w:u w:val="single"/>
        </w:rPr>
        <w:t xml:space="preserve">                     </w:t>
      </w:r>
    </w:p>
    <w:p w14:paraId="34AFE756">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身份证号码：</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电话：</w:t>
      </w:r>
      <w:r>
        <w:rPr>
          <w:rFonts w:hint="eastAsia" w:ascii="宋体" w:hAnsi="宋体" w:eastAsia="宋体" w:cs="Times New Roman"/>
          <w:bCs/>
          <w:sz w:val="24"/>
          <w:szCs w:val="24"/>
          <w:highlight w:val="none"/>
          <w:u w:val="single"/>
        </w:rPr>
        <w:t xml:space="preserve">                     </w:t>
      </w:r>
    </w:p>
    <w:p w14:paraId="7004690A">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通讯地址：</w:t>
      </w:r>
      <w:r>
        <w:rPr>
          <w:rFonts w:hint="eastAsia" w:ascii="宋体" w:hAnsi="宋体" w:eastAsia="宋体" w:cs="Times New Roman"/>
          <w:bCs/>
          <w:sz w:val="24"/>
          <w:szCs w:val="24"/>
          <w:highlight w:val="none"/>
          <w:u w:val="single"/>
        </w:rPr>
        <w:t xml:space="preserve">                                                     </w:t>
      </w:r>
    </w:p>
    <w:p w14:paraId="0B94CB77">
      <w:pPr>
        <w:ind w:left="1470" w:leftChars="700" w:right="1470" w:rightChars="700"/>
        <w:rPr>
          <w:rFonts w:ascii="宋体" w:hAnsi="宋体" w:eastAsia="宋体" w:cs="Times New Roman"/>
          <w:sz w:val="24"/>
          <w:szCs w:val="24"/>
          <w:highlight w:val="none"/>
        </w:rPr>
      </w:pPr>
    </w:p>
    <w:p w14:paraId="7BBAE887">
      <w:pPr>
        <w:ind w:left="1470" w:leftChars="700" w:right="1470" w:rightChars="700"/>
        <w:rPr>
          <w:rFonts w:ascii="宋体" w:hAnsi="宋体" w:eastAsia="宋体" w:cs="Times New Roman"/>
          <w:sz w:val="24"/>
          <w:szCs w:val="24"/>
          <w:highlight w:val="none"/>
        </w:rPr>
      </w:pPr>
    </w:p>
    <w:p w14:paraId="605789CB">
      <w:pPr>
        <w:ind w:left="1470" w:leftChars="700" w:right="1470" w:rightChars="700"/>
        <w:rPr>
          <w:rFonts w:ascii="宋体" w:hAnsi="宋体" w:eastAsia="宋体" w:cs="Times New Roman"/>
          <w:sz w:val="24"/>
          <w:szCs w:val="24"/>
          <w:highlight w:val="none"/>
        </w:rPr>
      </w:pPr>
    </w:p>
    <w:p w14:paraId="7A978AF2">
      <w:pPr>
        <w:ind w:left="1470" w:leftChars="700" w:right="1470" w:rightChars="700"/>
        <w:rPr>
          <w:rFonts w:ascii="宋体" w:hAnsi="宋体" w:eastAsia="宋体" w:cs="Times New Roman"/>
          <w:sz w:val="24"/>
          <w:szCs w:val="24"/>
          <w:highlight w:val="none"/>
        </w:rPr>
      </w:pPr>
    </w:p>
    <w:p w14:paraId="5A161FC2">
      <w:pPr>
        <w:spacing w:line="400" w:lineRule="exact"/>
        <w:ind w:right="480" w:firstLine="3480" w:firstLineChars="145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单位名称（盖章）：</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p>
    <w:p w14:paraId="797BFD86">
      <w:pPr>
        <w:spacing w:line="400" w:lineRule="exact"/>
        <w:ind w:right="480" w:firstLine="2520" w:firstLineChars="105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法定代表人（签名或盖章）：</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p>
    <w:p w14:paraId="3F8D9101">
      <w:pPr>
        <w:ind w:left="1470" w:leftChars="700" w:right="1470" w:rightChars="700"/>
        <w:rPr>
          <w:rFonts w:ascii="宋体" w:hAnsi="宋体" w:eastAsia="宋体" w:cs="Times New Roman"/>
          <w:sz w:val="24"/>
          <w:szCs w:val="24"/>
          <w:highlight w:val="none"/>
        </w:rPr>
      </w:pPr>
    </w:p>
    <w:p w14:paraId="6DB9FE9B">
      <w:pPr>
        <w:spacing w:line="400" w:lineRule="exact"/>
        <w:ind w:right="480"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w:t>
      </w:r>
    </w:p>
    <w:p w14:paraId="670A2C19">
      <w:pPr>
        <w:ind w:left="1470" w:leftChars="700" w:right="1470" w:rightChars="700"/>
        <w:rPr>
          <w:rFonts w:ascii="宋体" w:hAnsi="宋体" w:eastAsia="宋体" w:cs="Times New Roman"/>
          <w:sz w:val="24"/>
          <w:szCs w:val="24"/>
          <w:highlight w:val="none"/>
        </w:rPr>
      </w:pPr>
    </w:p>
    <w:p w14:paraId="03B1EA1A">
      <w:pPr>
        <w:ind w:left="1470" w:leftChars="700" w:right="1470" w:rightChars="700"/>
        <w:rPr>
          <w:rFonts w:ascii="宋体" w:hAnsi="宋体" w:eastAsia="宋体" w:cs="Times New Roman"/>
          <w:sz w:val="24"/>
          <w:szCs w:val="24"/>
          <w:highlight w:val="none"/>
        </w:rPr>
      </w:pPr>
    </w:p>
    <w:p w14:paraId="52DAA8DA">
      <w:pPr>
        <w:ind w:right="1470" w:rightChars="700"/>
        <w:rPr>
          <w:rFonts w:ascii="宋体" w:hAnsi="宋体" w:eastAsia="宋体" w:cs="Times New Roman"/>
          <w:sz w:val="24"/>
          <w:szCs w:val="24"/>
          <w:highlight w:val="none"/>
        </w:rPr>
      </w:pPr>
    </w:p>
    <w:p w14:paraId="403E3AB0">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附：</w:t>
      </w:r>
    </w:p>
    <w:tbl>
      <w:tblPr>
        <w:tblStyle w:val="32"/>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0269A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173602F1">
            <w:pPr>
              <w:spacing w:line="400" w:lineRule="exact"/>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法定代表人身份证</w:t>
            </w:r>
          </w:p>
          <w:p w14:paraId="43780646">
            <w:pPr>
              <w:spacing w:line="400" w:lineRule="exact"/>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扫描件</w:t>
            </w:r>
          </w:p>
        </w:tc>
      </w:tr>
    </w:tbl>
    <w:p w14:paraId="13E844A0">
      <w:pPr>
        <w:spacing w:line="400" w:lineRule="exact"/>
        <w:rPr>
          <w:rFonts w:ascii="宋体" w:hAnsi="宋体" w:eastAsia="宋体" w:cs="Times New Roman"/>
          <w:b/>
          <w:bCs/>
          <w:sz w:val="24"/>
          <w:szCs w:val="24"/>
          <w:highlight w:val="none"/>
        </w:rPr>
      </w:pPr>
    </w:p>
    <w:p w14:paraId="5AA297E2">
      <w:pPr>
        <w:spacing w:line="400" w:lineRule="exact"/>
        <w:ind w:firstLine="482" w:firstLineChars="200"/>
        <w:rPr>
          <w:rFonts w:ascii="宋体" w:hAnsi="宋体" w:eastAsia="宋体" w:cs="Times New Roman"/>
          <w:b/>
          <w:bCs/>
          <w:sz w:val="24"/>
          <w:szCs w:val="24"/>
          <w:highlight w:val="none"/>
        </w:rPr>
      </w:pPr>
    </w:p>
    <w:p w14:paraId="4D7790C1">
      <w:pPr>
        <w:spacing w:line="400" w:lineRule="exact"/>
        <w:ind w:firstLine="482" w:firstLineChars="200"/>
        <w:rPr>
          <w:rFonts w:ascii="宋体" w:hAnsi="宋体" w:eastAsia="宋体" w:cs="Times New Roman"/>
          <w:b/>
          <w:bCs/>
          <w:sz w:val="24"/>
          <w:szCs w:val="24"/>
          <w:highlight w:val="none"/>
        </w:rPr>
      </w:pPr>
    </w:p>
    <w:p w14:paraId="4FF1799D">
      <w:pPr>
        <w:spacing w:line="400" w:lineRule="exact"/>
        <w:ind w:firstLine="482" w:firstLineChars="200"/>
        <w:rPr>
          <w:rFonts w:ascii="宋体" w:hAnsi="宋体" w:eastAsia="宋体" w:cs="Times New Roman"/>
          <w:b/>
          <w:bCs/>
          <w:sz w:val="24"/>
          <w:szCs w:val="24"/>
          <w:highlight w:val="none"/>
        </w:rPr>
      </w:pPr>
    </w:p>
    <w:p w14:paraId="380344B0">
      <w:pPr>
        <w:spacing w:line="400" w:lineRule="exact"/>
        <w:rPr>
          <w:rFonts w:ascii="宋体" w:hAnsi="宋体" w:eastAsia="宋体" w:cs="Times New Roman"/>
          <w:bCs/>
          <w:sz w:val="24"/>
          <w:szCs w:val="24"/>
          <w:highlight w:val="none"/>
        </w:rPr>
      </w:pPr>
    </w:p>
    <w:p w14:paraId="1824F619">
      <w:pPr>
        <w:spacing w:line="400" w:lineRule="exact"/>
        <w:rPr>
          <w:rFonts w:ascii="宋体" w:hAnsi="宋体" w:eastAsia="宋体" w:cs="Times New Roman"/>
          <w:bCs/>
          <w:sz w:val="24"/>
          <w:szCs w:val="24"/>
          <w:highlight w:val="none"/>
        </w:rPr>
      </w:pPr>
    </w:p>
    <w:p w14:paraId="76BD2055">
      <w:pPr>
        <w:spacing w:line="400" w:lineRule="exact"/>
        <w:jc w:val="center"/>
        <w:rPr>
          <w:rFonts w:ascii="宋体" w:hAnsi="宋体" w:eastAsia="宋体" w:cs="Times New Roman"/>
          <w:bCs/>
          <w:sz w:val="24"/>
          <w:szCs w:val="24"/>
          <w:highlight w:val="none"/>
        </w:rPr>
      </w:pPr>
    </w:p>
    <w:p w14:paraId="3A04C0BF">
      <w:pPr>
        <w:spacing w:line="400" w:lineRule="exact"/>
        <w:jc w:val="center"/>
        <w:rPr>
          <w:rFonts w:ascii="宋体" w:hAnsi="宋体" w:eastAsia="宋体" w:cs="Times New Roman"/>
          <w:bCs/>
          <w:sz w:val="24"/>
          <w:szCs w:val="24"/>
          <w:highlight w:val="none"/>
        </w:rPr>
        <w:sectPr>
          <w:pgSz w:w="11906" w:h="16838"/>
          <w:pgMar w:top="1247" w:right="1247" w:bottom="1247" w:left="1247" w:header="680" w:footer="992" w:gutter="0"/>
          <w:pgNumType w:fmt="numberInDash"/>
          <w:cols w:space="720" w:num="1"/>
          <w:docGrid w:linePitch="312" w:charSpace="0"/>
        </w:sectPr>
      </w:pPr>
    </w:p>
    <w:p w14:paraId="558171AA">
      <w:pPr>
        <w:spacing w:line="400" w:lineRule="exact"/>
        <w:jc w:val="center"/>
        <w:rPr>
          <w:rFonts w:ascii="黑体" w:hAnsi="黑体" w:eastAsia="黑体" w:cs="Times New Roman"/>
          <w:sz w:val="28"/>
          <w:szCs w:val="28"/>
          <w:highlight w:val="none"/>
        </w:rPr>
      </w:pPr>
    </w:p>
    <w:p w14:paraId="419E07CF">
      <w:pPr>
        <w:spacing w:line="400" w:lineRule="exact"/>
        <w:jc w:val="center"/>
        <w:rPr>
          <w:rFonts w:ascii="黑体" w:hAnsi="黑体" w:eastAsia="黑体" w:cs="Times New Roman"/>
          <w:sz w:val="28"/>
          <w:szCs w:val="28"/>
          <w:highlight w:val="none"/>
        </w:rPr>
      </w:pPr>
      <w:r>
        <w:rPr>
          <w:rFonts w:hint="eastAsia" w:ascii="黑体" w:hAnsi="黑体" w:eastAsia="黑体" w:cs="Times New Roman"/>
          <w:sz w:val="28"/>
          <w:szCs w:val="28"/>
          <w:highlight w:val="none"/>
        </w:rPr>
        <w:t>六、关于资格的声明函</w:t>
      </w:r>
    </w:p>
    <w:p w14:paraId="10737BD0">
      <w:pPr>
        <w:spacing w:line="400" w:lineRule="exact"/>
        <w:ind w:firstLine="480" w:firstLineChars="200"/>
        <w:rPr>
          <w:rFonts w:ascii="宋体" w:hAnsi="宋体" w:eastAsia="宋体" w:cs="Times New Roman"/>
          <w:bCs/>
          <w:sz w:val="24"/>
          <w:szCs w:val="24"/>
          <w:highlight w:val="none"/>
        </w:rPr>
      </w:pPr>
    </w:p>
    <w:p w14:paraId="1DA59664">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江阴市政府采购中心：</w:t>
      </w:r>
    </w:p>
    <w:p w14:paraId="42B9D691">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按照《中华人民共和国政府采购法》第二十二条和招标文件的规定，我单位郑重声明如下：</w:t>
      </w:r>
    </w:p>
    <w:p w14:paraId="7A41F785">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一、我单位是按照中华人民共和国法律规定登记注册的，注册地点为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，全称为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，统一社会信用代码为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，法定代表人（单位负责人）为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，具有独立承担民事责任的能力</w:t>
      </w:r>
      <w:r>
        <w:rPr>
          <w:rFonts w:hint="eastAsia" w:ascii="宋体" w:hAnsi="宋体" w:eastAsia="宋体" w:cs="Times New Roman"/>
          <w:b/>
          <w:bCs/>
          <w:sz w:val="24"/>
          <w:szCs w:val="24"/>
          <w:highlight w:val="none"/>
        </w:rPr>
        <w:t>（如属于分公司经总公司授权参与项目，由总公司承担民事责任的，须提供总公司项目授权书）</w:t>
      </w:r>
      <w:r>
        <w:rPr>
          <w:rFonts w:hint="eastAsia" w:ascii="宋体" w:hAnsi="宋体" w:eastAsia="宋体" w:cs="Times New Roman"/>
          <w:bCs/>
          <w:sz w:val="24"/>
          <w:szCs w:val="24"/>
          <w:highlight w:val="none"/>
        </w:rPr>
        <w:t>。</w:t>
      </w:r>
    </w:p>
    <w:p w14:paraId="21FD5B60">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二、我单位具有良好的商业信誉（指投标人经营状况良好，无本资格声明第五条情形）和健全的财务会计制度。</w:t>
      </w:r>
    </w:p>
    <w:p w14:paraId="45996D15">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三、我单位依法进行纳税和社会保险申报并实际履行了义务。</w:t>
      </w:r>
    </w:p>
    <w:p w14:paraId="50D1E5BD">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。主要专业技术能力有：</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w:t>
      </w:r>
    </w:p>
    <w:p w14:paraId="4D8149ED">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五、我单位参加本次政府采购活动前 3 年内，我单位在经营活动中没有因违法经营受到刑事处罚或者责令停产停业、吊销许可证或者执照、较大数额罚款等行政处罚。</w:t>
      </w:r>
    </w:p>
    <w:p w14:paraId="26555F5B">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六、我单位具备法律、行政法规规定的其他条件。</w:t>
      </w:r>
    </w:p>
    <w:p w14:paraId="1C122384">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七、</w:t>
      </w:r>
      <w:r>
        <w:rPr>
          <w:rFonts w:ascii="宋体" w:hAnsi="宋体" w:eastAsia="宋体" w:cs="Times New Roman"/>
          <w:bCs/>
          <w:sz w:val="24"/>
          <w:szCs w:val="24"/>
          <w:highlight w:val="none"/>
        </w:rPr>
        <w:t>我单位未被列入“信用中国”网站列入失信被执行人、重大税收违法失信主体、政府采购严重违法失信行为信息记录名单。</w:t>
      </w:r>
    </w:p>
    <w:p w14:paraId="460A3DA0">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八、我单位不具有违反《中华人民共和国政府采购法》第二十二条的任何情形。</w:t>
      </w:r>
    </w:p>
    <w:p w14:paraId="303A0340">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九、我单位投标文件中所有关于投标资格的文件、证明、陈述均是真实的、准确的。</w:t>
      </w:r>
    </w:p>
    <w:p w14:paraId="37505186">
      <w:pPr>
        <w:spacing w:line="4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我单位承诺遵守《中华人民共和国政府采购法》第二十二、七十七条之规定，若有违背，我公司（单位）愿意承担因“提供虚假材料谋取中标的”的一切法律后果，依法接受相应处罚。</w:t>
      </w:r>
    </w:p>
    <w:p w14:paraId="0C3122BC">
      <w:pPr>
        <w:spacing w:line="360" w:lineRule="exact"/>
        <w:jc w:val="center"/>
        <w:rPr>
          <w:rFonts w:ascii="宋体" w:hAnsi="宋体" w:eastAsia="宋体" w:cs="Times New Roman"/>
          <w:sz w:val="24"/>
          <w:szCs w:val="24"/>
          <w:highlight w:val="none"/>
        </w:rPr>
      </w:pPr>
    </w:p>
    <w:p w14:paraId="7D7B9055">
      <w:pPr>
        <w:spacing w:line="400" w:lineRule="exact"/>
        <w:ind w:firstLine="3600" w:firstLineChars="1500"/>
        <w:jc w:val="lef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投标单位（电子签章）：</w:t>
      </w:r>
    </w:p>
    <w:p w14:paraId="3971F115">
      <w:pPr>
        <w:spacing w:line="400" w:lineRule="exact"/>
        <w:ind w:firstLine="3600" w:firstLineChars="1500"/>
        <w:jc w:val="left"/>
        <w:rPr>
          <w:rFonts w:ascii="宋体" w:hAnsi="宋体" w:eastAsia="宋体" w:cs="Times New Roman"/>
          <w:bCs/>
          <w:sz w:val="24"/>
          <w:szCs w:val="24"/>
          <w:highlight w:val="none"/>
        </w:rPr>
      </w:pPr>
    </w:p>
    <w:p w14:paraId="2196586B">
      <w:pPr>
        <w:spacing w:line="400" w:lineRule="exact"/>
        <w:ind w:firstLine="3600" w:firstLineChars="1500"/>
        <w:jc w:val="left"/>
        <w:rPr>
          <w:rFonts w:ascii="宋体" w:hAnsi="宋体" w:eastAsia="宋体" w:cs="Times New Roman"/>
          <w:sz w:val="24"/>
          <w:szCs w:val="24"/>
          <w:highlight w:val="none"/>
        </w:rPr>
      </w:pPr>
      <w:r>
        <w:rPr>
          <w:rFonts w:hint="eastAsia" w:ascii="宋体" w:hAnsi="宋体" w:eastAsia="宋体" w:cs="Times New Roman"/>
          <w:bCs/>
          <w:sz w:val="24"/>
          <w:szCs w:val="24"/>
          <w:highlight w:val="none"/>
        </w:rPr>
        <w:t>日期：     年    月    日</w:t>
      </w:r>
    </w:p>
    <w:p w14:paraId="52242529">
      <w:pPr>
        <w:rPr>
          <w:rFonts w:ascii="宋体" w:hAnsi="宋体" w:eastAsia="宋体" w:cs="Times New Roman"/>
          <w:b/>
          <w:bCs/>
          <w:sz w:val="24"/>
          <w:szCs w:val="24"/>
          <w:highlight w:val="none"/>
        </w:rPr>
      </w:pPr>
    </w:p>
    <w:p w14:paraId="28567103">
      <w:pPr>
        <w:rPr>
          <w:rFonts w:ascii="宋体" w:hAnsi="宋体" w:eastAsia="宋体" w:cs="Times New Roman"/>
          <w:b/>
          <w:bCs/>
          <w:szCs w:val="21"/>
          <w:highlight w:val="none"/>
        </w:rPr>
      </w:pPr>
      <w:r>
        <w:rPr>
          <w:rFonts w:hint="eastAsia" w:ascii="宋体" w:hAnsi="宋体" w:eastAsia="宋体" w:cs="Times New Roman"/>
          <w:b/>
          <w:bCs/>
          <w:szCs w:val="21"/>
          <w:highlight w:val="none"/>
        </w:rPr>
        <w:t>说明：</w:t>
      </w:r>
    </w:p>
    <w:p w14:paraId="7E38C746">
      <w:pPr>
        <w:ind w:firstLine="422" w:firstLineChars="200"/>
        <w:jc w:val="left"/>
        <w:rPr>
          <w:rFonts w:ascii="宋体" w:hAnsi="宋体" w:eastAsia="宋体" w:cs="Times New Roman"/>
          <w:b/>
          <w:bCs/>
          <w:szCs w:val="21"/>
          <w:highlight w:val="none"/>
        </w:rPr>
      </w:pPr>
      <w:r>
        <w:rPr>
          <w:rFonts w:hint="eastAsia" w:ascii="宋体" w:hAnsi="宋体" w:eastAsia="宋体" w:cs="Times New Roman"/>
          <w:b/>
          <w:bCs/>
          <w:szCs w:val="21"/>
          <w:highlight w:val="none"/>
        </w:rPr>
        <w:t>1.无此表或对此表作实质性修改，投标无效。</w:t>
      </w:r>
    </w:p>
    <w:p w14:paraId="30368B51">
      <w:pPr>
        <w:ind w:firstLine="422" w:firstLineChars="200"/>
        <w:jc w:val="left"/>
        <w:rPr>
          <w:rFonts w:ascii="宋体" w:hAnsi="宋体" w:eastAsia="宋体" w:cs="Times New Roman"/>
          <w:b/>
          <w:bCs/>
          <w:szCs w:val="21"/>
          <w:highlight w:val="none"/>
        </w:rPr>
      </w:pPr>
      <w:r>
        <w:rPr>
          <w:rFonts w:hint="eastAsia" w:ascii="宋体" w:hAnsi="宋体" w:eastAsia="宋体" w:cs="Times New Roman"/>
          <w:b/>
          <w:bCs/>
          <w:szCs w:val="21"/>
          <w:highlight w:val="none"/>
        </w:rPr>
        <w:t>2.投标人须对此表中内容作出承诺，否则投标无效。</w:t>
      </w:r>
    </w:p>
    <w:p w14:paraId="626E50F4">
      <w:pPr>
        <w:ind w:firstLine="422" w:firstLineChars="200"/>
        <w:jc w:val="left"/>
        <w:rPr>
          <w:rFonts w:ascii="宋体" w:hAnsi="宋体" w:eastAsia="宋体" w:cs="Times New Roman"/>
          <w:b/>
          <w:bCs/>
          <w:szCs w:val="21"/>
          <w:highlight w:val="none"/>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
          <w:bCs/>
          <w:szCs w:val="21"/>
          <w:highlight w:val="none"/>
        </w:rPr>
        <w:t>3.采购中心或采购人保留核查以上承诺事项真实性的权利。</w:t>
      </w:r>
    </w:p>
    <w:p w14:paraId="13F87AE1">
      <w:pPr>
        <w:spacing w:line="400" w:lineRule="exact"/>
        <w:rPr>
          <w:rFonts w:ascii="黑体" w:hAnsi="黑体" w:eastAsia="黑体" w:cs="Times New Roman"/>
          <w:sz w:val="28"/>
          <w:szCs w:val="28"/>
          <w:highlight w:val="none"/>
        </w:rPr>
      </w:pPr>
    </w:p>
    <w:p w14:paraId="21A95456">
      <w:pPr>
        <w:spacing w:line="400" w:lineRule="exact"/>
        <w:rPr>
          <w:rFonts w:ascii="黑体" w:hAnsi="黑体" w:eastAsia="黑体" w:cs="Times New Roman"/>
          <w:sz w:val="28"/>
          <w:szCs w:val="28"/>
          <w:highlight w:val="none"/>
        </w:rPr>
      </w:pPr>
      <w:r>
        <w:rPr>
          <w:rFonts w:hint="eastAsia" w:ascii="黑体" w:hAnsi="黑体" w:eastAsia="黑体" w:cs="Times New Roman"/>
          <w:sz w:val="28"/>
          <w:szCs w:val="28"/>
          <w:highlight w:val="none"/>
        </w:rPr>
        <w:t>附件：</w:t>
      </w:r>
    </w:p>
    <w:p w14:paraId="3CF7FC49">
      <w:pPr>
        <w:spacing w:line="400" w:lineRule="exact"/>
        <w:rPr>
          <w:rFonts w:ascii="黑体" w:hAnsi="黑体" w:eastAsia="黑体" w:cs="Times New Roman"/>
          <w:sz w:val="28"/>
          <w:szCs w:val="28"/>
          <w:highlight w:val="none"/>
        </w:rPr>
      </w:pPr>
    </w:p>
    <w:p w14:paraId="66EA33D6">
      <w:pPr>
        <w:spacing w:line="400" w:lineRule="exact"/>
        <w:jc w:val="center"/>
        <w:rPr>
          <w:rFonts w:ascii="黑体" w:hAnsi="黑体" w:eastAsia="黑体" w:cs="Times New Roman"/>
          <w:sz w:val="28"/>
          <w:szCs w:val="28"/>
          <w:highlight w:val="none"/>
        </w:rPr>
      </w:pPr>
      <w:r>
        <w:rPr>
          <w:rFonts w:hint="eastAsia" w:ascii="黑体" w:hAnsi="黑体" w:eastAsia="黑体" w:cs="Times New Roman"/>
          <w:sz w:val="28"/>
          <w:szCs w:val="28"/>
          <w:highlight w:val="none"/>
        </w:rPr>
        <w:t>一、中小微企业声明函（服务类项目）</w:t>
      </w:r>
    </w:p>
    <w:p w14:paraId="12141D7F">
      <w:pPr>
        <w:spacing w:line="400" w:lineRule="exact"/>
        <w:jc w:val="center"/>
        <w:rPr>
          <w:rFonts w:ascii="宋体" w:hAnsi="宋体" w:eastAsia="宋体" w:cs="宋体"/>
          <w:sz w:val="28"/>
          <w:szCs w:val="28"/>
          <w:highlight w:val="none"/>
        </w:rPr>
      </w:pPr>
      <w:r>
        <w:rPr>
          <w:rFonts w:hint="eastAsia" w:ascii="仿宋" w:hAnsi="仿宋" w:eastAsia="仿宋" w:cs="Times New Roman"/>
          <w:b/>
          <w:bCs/>
          <w:sz w:val="24"/>
          <w:szCs w:val="24"/>
          <w:highlight w:val="none"/>
        </w:rPr>
        <w:t>（非小微型企业无需填写提供）</w:t>
      </w:r>
    </w:p>
    <w:p w14:paraId="0B746825">
      <w:pPr>
        <w:spacing w:line="360" w:lineRule="auto"/>
        <w:jc w:val="center"/>
        <w:rPr>
          <w:rFonts w:ascii="宋体" w:hAnsi="宋体" w:eastAsia="宋体" w:cs="Times New Roman"/>
          <w:b/>
          <w:sz w:val="24"/>
          <w:szCs w:val="24"/>
          <w:highlight w:val="none"/>
        </w:rPr>
      </w:pPr>
    </w:p>
    <w:p w14:paraId="6FDD6170">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rPr>
        <w:t>（采购编号）</w:t>
      </w: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项目（项目名称）（采购包号：**）的采购活动，服务全部由符合政策的中小微企业承接。相关企业（含联合体中的中小微企业、签订采购包意向协议的中小微企业）的具体情况如下：</w:t>
      </w:r>
    </w:p>
    <w:p w14:paraId="00DE199A">
      <w:pPr>
        <w:spacing w:line="360" w:lineRule="auto"/>
        <w:ind w:firstLine="360" w:firstLineChars="150"/>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1.</w:t>
      </w:r>
      <w:r>
        <w:rPr>
          <w:rFonts w:hint="eastAsia" w:ascii="宋体" w:hAnsi="宋体" w:eastAsia="宋体" w:cs="Times New Roman"/>
          <w:sz w:val="24"/>
          <w:szCs w:val="24"/>
          <w:highlight w:val="none"/>
          <w:u w:val="single"/>
        </w:rPr>
        <w:t>（标的名称）</w:t>
      </w:r>
      <w:r>
        <w:rPr>
          <w:rFonts w:hint="eastAsia" w:ascii="宋体" w:hAnsi="宋体" w:eastAsia="宋体" w:cs="Times New Roman"/>
          <w:i/>
          <w:sz w:val="24"/>
          <w:szCs w:val="24"/>
          <w:highlight w:val="none"/>
        </w:rPr>
        <w:t>，</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（供应商填写采购文件中明确的所属行业）</w:t>
      </w:r>
      <w:r>
        <w:rPr>
          <w:rFonts w:hint="eastAsia" w:ascii="宋体" w:hAnsi="宋体" w:eastAsia="宋体" w:cs="Times New Roman"/>
          <w:sz w:val="24"/>
          <w:szCs w:val="24"/>
          <w:highlight w:val="none"/>
        </w:rPr>
        <w:t>行业；承接企业为</w:t>
      </w:r>
      <w:r>
        <w:rPr>
          <w:rFonts w:hint="eastAsia" w:ascii="宋体" w:hAnsi="宋体" w:eastAsia="宋体" w:cs="Times New Roman"/>
          <w:sz w:val="24"/>
          <w:szCs w:val="24"/>
          <w:highlight w:val="none"/>
          <w:u w:val="single"/>
        </w:rPr>
        <w:t>（企业名称）</w:t>
      </w:r>
      <w:r>
        <w:rPr>
          <w:rFonts w:hint="eastAsia" w:ascii="宋体" w:hAnsi="宋体" w:eastAsia="宋体" w:cs="Times New Roman"/>
          <w:sz w:val="24"/>
          <w:szCs w:val="24"/>
          <w:highlight w:val="none"/>
        </w:rPr>
        <w:t>，从业人员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w:t>
      </w:r>
      <w:r>
        <w:rPr>
          <w:rFonts w:hint="eastAsia" w:ascii="宋体" w:hAnsi="宋体" w:eastAsia="宋体" w:cs="Times New Roman"/>
          <w:sz w:val="24"/>
          <w:szCs w:val="24"/>
          <w:highlight w:val="none"/>
          <w:vertAlign w:val="superscript"/>
        </w:rPr>
        <w:t>1</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（□中型企业 □小型企业 □微型企业）；</w:t>
      </w:r>
    </w:p>
    <w:p w14:paraId="7389AC58">
      <w:pPr>
        <w:spacing w:line="360" w:lineRule="auto"/>
        <w:ind w:firstLine="360" w:firstLineChars="150"/>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2.</w:t>
      </w:r>
      <w:r>
        <w:rPr>
          <w:rFonts w:hint="eastAsia" w:ascii="宋体" w:hAnsi="宋体" w:eastAsia="宋体" w:cs="Times New Roman"/>
          <w:sz w:val="24"/>
          <w:szCs w:val="24"/>
          <w:highlight w:val="none"/>
          <w:u w:val="single"/>
        </w:rPr>
        <w:t>（标的名称）</w:t>
      </w:r>
      <w:r>
        <w:rPr>
          <w:rFonts w:hint="eastAsia" w:ascii="宋体" w:hAnsi="宋体" w:eastAsia="宋体" w:cs="Times New Roman"/>
          <w:i/>
          <w:sz w:val="24"/>
          <w:szCs w:val="24"/>
          <w:highlight w:val="none"/>
        </w:rPr>
        <w:t>，</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（供应商填写采购文件中明确的所属行业）</w:t>
      </w:r>
      <w:r>
        <w:rPr>
          <w:rFonts w:hint="eastAsia" w:ascii="宋体" w:hAnsi="宋体" w:eastAsia="宋体" w:cs="Times New Roman"/>
          <w:sz w:val="24"/>
          <w:szCs w:val="24"/>
          <w:highlight w:val="none"/>
        </w:rPr>
        <w:t>行业；承接企业为</w:t>
      </w:r>
      <w:r>
        <w:rPr>
          <w:rFonts w:hint="eastAsia" w:ascii="宋体" w:hAnsi="宋体" w:eastAsia="宋体" w:cs="Times New Roman"/>
          <w:sz w:val="24"/>
          <w:szCs w:val="24"/>
          <w:highlight w:val="none"/>
          <w:u w:val="single"/>
        </w:rPr>
        <w:t>（企业名称）</w:t>
      </w:r>
      <w:r>
        <w:rPr>
          <w:rFonts w:hint="eastAsia" w:ascii="宋体" w:hAnsi="宋体" w:eastAsia="宋体" w:cs="Times New Roman"/>
          <w:sz w:val="24"/>
          <w:szCs w:val="24"/>
          <w:highlight w:val="none"/>
        </w:rPr>
        <w:t>，从业人员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w:t>
      </w:r>
      <w:r>
        <w:rPr>
          <w:rFonts w:hint="eastAsia" w:ascii="宋体" w:hAnsi="宋体" w:eastAsia="宋体" w:cs="Times New Roman"/>
          <w:sz w:val="24"/>
          <w:szCs w:val="24"/>
          <w:highlight w:val="none"/>
          <w:vertAlign w:val="superscript"/>
        </w:rPr>
        <w:t>1</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（□中型企业 □小型企业 □微型企业）；</w:t>
      </w:r>
    </w:p>
    <w:p w14:paraId="0B03D0F8">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p w14:paraId="75A37594">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以上企业，不属于大企业的分支机构，不存在控股股东为大企业的情形，也不存在与大企业的负责人为同一人的情形。</w:t>
      </w:r>
    </w:p>
    <w:p w14:paraId="17365EE3">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本企业对上述声明内容的真实性负责。如有虚假，将依法承担相应责任</w:t>
      </w:r>
    </w:p>
    <w:p w14:paraId="6F0C8FDF">
      <w:pPr>
        <w:spacing w:line="360" w:lineRule="auto"/>
        <w:ind w:right="720"/>
        <w:rPr>
          <w:rFonts w:ascii="宋体" w:hAnsi="宋体" w:eastAsia="宋体" w:cs="Times New Roman"/>
          <w:sz w:val="24"/>
          <w:szCs w:val="24"/>
          <w:highlight w:val="none"/>
        </w:rPr>
      </w:pPr>
    </w:p>
    <w:p w14:paraId="3EF4856C">
      <w:pPr>
        <w:spacing w:line="360" w:lineRule="auto"/>
        <w:ind w:right="180" w:firstLine="360" w:firstLineChars="150"/>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企业名称（加盖CA电子公章）：</w:t>
      </w:r>
    </w:p>
    <w:p w14:paraId="5FFE4EC9">
      <w:pPr>
        <w:spacing w:line="360" w:lineRule="auto"/>
        <w:ind w:right="180" w:firstLine="360" w:firstLineChars="150"/>
        <w:jc w:val="center"/>
        <w:rPr>
          <w:rFonts w:ascii="宋体" w:hAnsi="宋体" w:eastAsia="宋体" w:cs="Times New Roman"/>
          <w:sz w:val="24"/>
          <w:szCs w:val="24"/>
          <w:highlight w:val="none"/>
        </w:rPr>
      </w:pPr>
      <w:r>
        <w:rPr>
          <w:rFonts w:hint="eastAsia" w:ascii="宋体" w:hAnsi="宋体" w:eastAsia="宋体" w:cs="宋体"/>
          <w:sz w:val="24"/>
          <w:szCs w:val="24"/>
          <w:highlight w:val="none"/>
          <w:shd w:val="clear" w:color="auto" w:fill="FFFFFF"/>
        </w:rPr>
        <w:t xml:space="preserve">                               日期：___年____月____日 </w:t>
      </w:r>
    </w:p>
    <w:p w14:paraId="667FBE20">
      <w:pPr>
        <w:spacing w:line="400" w:lineRule="exact"/>
        <w:ind w:firstLine="480" w:firstLineChars="200"/>
        <w:rPr>
          <w:rFonts w:ascii="宋体" w:hAnsi="宋体" w:eastAsia="宋体" w:cs="Times New Roman"/>
          <w:sz w:val="24"/>
          <w:szCs w:val="24"/>
          <w:highlight w:val="none"/>
        </w:rPr>
      </w:pPr>
    </w:p>
    <w:p w14:paraId="0A79F511">
      <w:pPr>
        <w:spacing w:line="400" w:lineRule="exact"/>
        <w:ind w:firstLine="360" w:firstLineChars="200"/>
        <w:rPr>
          <w:rFonts w:ascii="宋体" w:hAnsi="宋体" w:eastAsia="宋体" w:cs="Times New Roman"/>
          <w:sz w:val="18"/>
          <w:szCs w:val="18"/>
          <w:highlight w:val="none"/>
        </w:rPr>
      </w:pPr>
      <w:r>
        <w:rPr>
          <w:rFonts w:hint="eastAsia" w:ascii="宋体" w:hAnsi="宋体" w:eastAsia="宋体" w:cs="Times New Roman"/>
          <w:sz w:val="18"/>
          <w:szCs w:val="18"/>
          <w:highlight w:val="none"/>
        </w:rPr>
        <w:t>备注：</w:t>
      </w:r>
    </w:p>
    <w:p w14:paraId="1DC42E59">
      <w:pPr>
        <w:spacing w:line="400" w:lineRule="exact"/>
        <w:ind w:firstLine="360" w:firstLineChars="200"/>
        <w:rPr>
          <w:rFonts w:ascii="宋体" w:hAnsi="宋体" w:eastAsia="宋体" w:cs="Times New Roman"/>
          <w:sz w:val="18"/>
          <w:szCs w:val="18"/>
          <w:highlight w:val="none"/>
        </w:rPr>
      </w:pPr>
      <w:r>
        <w:rPr>
          <w:rFonts w:hint="eastAsia" w:ascii="宋体" w:hAnsi="宋体" w:eastAsia="宋体" w:cs="Times New Roman"/>
          <w:sz w:val="18"/>
          <w:szCs w:val="18"/>
          <w:highlight w:val="none"/>
        </w:rPr>
        <w:t>1.从业人员、营业收入、资产总额填报上一年度数据，无上一年度数据的新成立企业可不填报。</w:t>
      </w:r>
    </w:p>
    <w:p w14:paraId="18D02674">
      <w:pPr>
        <w:spacing w:line="400" w:lineRule="exact"/>
        <w:ind w:firstLine="360" w:firstLineChars="200"/>
        <w:rPr>
          <w:rFonts w:ascii="宋体" w:hAnsi="宋体" w:eastAsia="宋体" w:cs="Times New Roman"/>
          <w:sz w:val="18"/>
          <w:szCs w:val="18"/>
          <w:highlight w:val="none"/>
        </w:rPr>
      </w:pPr>
      <w:r>
        <w:rPr>
          <w:rFonts w:hint="eastAsia" w:ascii="宋体" w:hAnsi="宋体" w:eastAsia="宋体" w:cs="Times New Roman"/>
          <w:sz w:val="18"/>
          <w:szCs w:val="18"/>
          <w:highlight w:val="none"/>
        </w:rPr>
        <w:t>2.专门</w:t>
      </w:r>
      <w:r>
        <w:rPr>
          <w:rFonts w:ascii="宋体" w:hAnsi="宋体" w:eastAsia="宋体" w:cs="Times New Roman"/>
          <w:sz w:val="18"/>
          <w:szCs w:val="18"/>
          <w:highlight w:val="none"/>
        </w:rPr>
        <w:t>面向中小微型企业</w:t>
      </w:r>
      <w:r>
        <w:rPr>
          <w:rFonts w:hint="eastAsia" w:ascii="宋体" w:hAnsi="宋体" w:eastAsia="宋体" w:cs="Times New Roman"/>
          <w:sz w:val="18"/>
          <w:szCs w:val="18"/>
          <w:highlight w:val="none"/>
        </w:rPr>
        <w:t>采购</w:t>
      </w:r>
      <w:r>
        <w:rPr>
          <w:rFonts w:ascii="宋体" w:hAnsi="宋体" w:eastAsia="宋体" w:cs="Times New Roman"/>
          <w:sz w:val="18"/>
          <w:szCs w:val="18"/>
          <w:highlight w:val="none"/>
        </w:rPr>
        <w:t>的项目，</w:t>
      </w:r>
      <w:r>
        <w:rPr>
          <w:rFonts w:hint="eastAsia" w:ascii="宋体" w:hAnsi="宋体" w:eastAsia="宋体" w:cs="Times New Roman"/>
          <w:sz w:val="18"/>
          <w:szCs w:val="18"/>
          <w:highlight w:val="none"/>
        </w:rPr>
        <w:t>供应商如不提供此声明函，则</w:t>
      </w:r>
      <w:r>
        <w:rPr>
          <w:rFonts w:ascii="宋体" w:hAnsi="宋体" w:eastAsia="宋体" w:cs="Times New Roman"/>
          <w:sz w:val="18"/>
          <w:szCs w:val="18"/>
          <w:highlight w:val="none"/>
        </w:rPr>
        <w:t>不能通过资格审查；</w:t>
      </w:r>
      <w:r>
        <w:rPr>
          <w:rFonts w:hint="eastAsia" w:ascii="宋体" w:hAnsi="宋体" w:eastAsia="宋体" w:cs="Times New Roman"/>
          <w:sz w:val="18"/>
          <w:szCs w:val="18"/>
          <w:highlight w:val="none"/>
        </w:rPr>
        <w:t>非专门</w:t>
      </w:r>
      <w:r>
        <w:rPr>
          <w:rFonts w:ascii="宋体" w:hAnsi="宋体" w:eastAsia="宋体" w:cs="Times New Roman"/>
          <w:sz w:val="18"/>
          <w:szCs w:val="18"/>
          <w:highlight w:val="none"/>
        </w:rPr>
        <w:t>面向中小微型企业</w:t>
      </w:r>
      <w:r>
        <w:rPr>
          <w:rFonts w:hint="eastAsia" w:ascii="宋体" w:hAnsi="宋体" w:eastAsia="宋体" w:cs="Times New Roman"/>
          <w:sz w:val="18"/>
          <w:szCs w:val="18"/>
          <w:highlight w:val="none"/>
        </w:rPr>
        <w:t>采购</w:t>
      </w:r>
      <w:r>
        <w:rPr>
          <w:rFonts w:ascii="宋体" w:hAnsi="宋体" w:eastAsia="宋体" w:cs="Times New Roman"/>
          <w:sz w:val="18"/>
          <w:szCs w:val="18"/>
          <w:highlight w:val="none"/>
        </w:rPr>
        <w:t>的项目，</w:t>
      </w:r>
      <w:r>
        <w:rPr>
          <w:rFonts w:hint="eastAsia" w:ascii="宋体" w:hAnsi="宋体" w:eastAsia="宋体" w:cs="Times New Roman"/>
          <w:sz w:val="18"/>
          <w:szCs w:val="18"/>
          <w:highlight w:val="none"/>
        </w:rPr>
        <w:t>供应商如不提供此声明函，价格将不做相应扣除。</w:t>
      </w:r>
    </w:p>
    <w:p w14:paraId="3AFD2CCE">
      <w:pPr>
        <w:spacing w:line="400" w:lineRule="exact"/>
        <w:ind w:firstLine="360" w:firstLineChars="200"/>
        <w:rPr>
          <w:rFonts w:ascii="宋体" w:hAnsi="宋体" w:eastAsia="宋体" w:cs="Times New Roman"/>
          <w:sz w:val="18"/>
          <w:szCs w:val="18"/>
          <w:highlight w:val="none"/>
        </w:rPr>
      </w:pPr>
      <w:r>
        <w:rPr>
          <w:rFonts w:hint="eastAsia" w:ascii="宋体" w:hAnsi="宋体" w:eastAsia="宋体" w:cs="Times New Roman"/>
          <w:sz w:val="18"/>
          <w:szCs w:val="18"/>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18"/>
          <w:szCs w:val="18"/>
          <w:highlight w:val="none"/>
        </w:rPr>
        <w:t>自行勾选</w:t>
      </w:r>
      <w:r>
        <w:rPr>
          <w:rFonts w:hint="eastAsia" w:ascii="宋体" w:hAnsi="宋体" w:eastAsia="宋体" w:cs="Times New Roman"/>
          <w:sz w:val="18"/>
          <w:szCs w:val="18"/>
          <w:highlight w:val="none"/>
        </w:rPr>
        <w:t>承接企业</w:t>
      </w:r>
      <w:r>
        <w:rPr>
          <w:rFonts w:ascii="宋体" w:hAnsi="宋体" w:eastAsia="宋体" w:cs="Times New Roman"/>
          <w:sz w:val="18"/>
          <w:szCs w:val="18"/>
          <w:highlight w:val="none"/>
        </w:rPr>
        <w:t>的企业</w:t>
      </w:r>
      <w:r>
        <w:rPr>
          <w:rFonts w:hint="eastAsia" w:ascii="宋体" w:hAnsi="宋体" w:eastAsia="宋体" w:cs="Times New Roman"/>
          <w:sz w:val="18"/>
          <w:szCs w:val="18"/>
          <w:highlight w:val="none"/>
        </w:rPr>
        <w:t>规模类型</w:t>
      </w:r>
      <w:r>
        <w:rPr>
          <w:rFonts w:ascii="宋体" w:hAnsi="宋体" w:eastAsia="宋体" w:cs="Times New Roman"/>
          <w:sz w:val="18"/>
          <w:szCs w:val="18"/>
          <w:highlight w:val="none"/>
        </w:rPr>
        <w:t>。</w:t>
      </w:r>
    </w:p>
    <w:p w14:paraId="2EBB4C38">
      <w:pPr>
        <w:autoSpaceDE w:val="0"/>
        <w:autoSpaceDN w:val="0"/>
        <w:adjustRightInd w:val="0"/>
        <w:spacing w:line="400" w:lineRule="exact"/>
        <w:jc w:val="left"/>
        <w:rPr>
          <w:rFonts w:ascii="宋体" w:hAnsi="宋体" w:eastAsia="宋体" w:cs="仿宋"/>
          <w:sz w:val="24"/>
          <w:szCs w:val="24"/>
          <w:highlight w:val="none"/>
        </w:rPr>
        <w:sectPr>
          <w:pgSz w:w="11906" w:h="16838"/>
          <w:pgMar w:top="1247" w:right="1247" w:bottom="1247" w:left="1247" w:header="680" w:footer="992" w:gutter="0"/>
          <w:pgNumType w:fmt="numberInDash"/>
          <w:cols w:space="720" w:num="1"/>
          <w:docGrid w:linePitch="312" w:charSpace="0"/>
        </w:sectPr>
      </w:pPr>
    </w:p>
    <w:p w14:paraId="17F9E288">
      <w:pPr>
        <w:autoSpaceDE w:val="0"/>
        <w:autoSpaceDN w:val="0"/>
        <w:adjustRightInd w:val="0"/>
        <w:spacing w:line="400" w:lineRule="exact"/>
        <w:ind w:firstLine="480" w:firstLineChars="200"/>
        <w:jc w:val="left"/>
        <w:rPr>
          <w:rFonts w:ascii="宋体" w:hAnsi="宋体" w:eastAsia="宋体" w:cs="仿宋"/>
          <w:sz w:val="24"/>
          <w:szCs w:val="24"/>
          <w:highlight w:val="none"/>
        </w:rPr>
      </w:pPr>
    </w:p>
    <w:p w14:paraId="2B207DAB">
      <w:pPr>
        <w:spacing w:line="400" w:lineRule="exact"/>
        <w:jc w:val="center"/>
        <w:rPr>
          <w:rFonts w:ascii="黑体" w:hAnsi="黑体" w:eastAsia="黑体" w:cs="Times New Roman"/>
          <w:sz w:val="28"/>
          <w:szCs w:val="28"/>
          <w:highlight w:val="none"/>
        </w:rPr>
      </w:pPr>
      <w:r>
        <w:rPr>
          <w:rFonts w:hint="eastAsia" w:ascii="黑体" w:hAnsi="黑体" w:eastAsia="黑体" w:cs="Times New Roman"/>
          <w:sz w:val="28"/>
          <w:szCs w:val="28"/>
          <w:highlight w:val="none"/>
        </w:rPr>
        <w:t>二、残疾人福利性单位声明函（服务类项目）</w:t>
      </w:r>
    </w:p>
    <w:p w14:paraId="464F4558">
      <w:pPr>
        <w:spacing w:line="400" w:lineRule="exact"/>
        <w:jc w:val="center"/>
        <w:rPr>
          <w:rFonts w:ascii="仿宋" w:hAnsi="仿宋" w:eastAsia="仿宋" w:cs="Times New Roman"/>
          <w:b/>
          <w:bCs/>
          <w:sz w:val="24"/>
          <w:szCs w:val="24"/>
          <w:highlight w:val="none"/>
        </w:rPr>
      </w:pPr>
      <w:r>
        <w:rPr>
          <w:rFonts w:hint="eastAsia" w:ascii="仿宋" w:hAnsi="仿宋" w:eastAsia="仿宋" w:cs="Times New Roman"/>
          <w:b/>
          <w:bCs/>
          <w:sz w:val="24"/>
          <w:szCs w:val="24"/>
          <w:highlight w:val="none"/>
        </w:rPr>
        <w:t>（非残疾人福利性单位无需填写提供）</w:t>
      </w:r>
    </w:p>
    <w:p w14:paraId="51A10A93">
      <w:pPr>
        <w:autoSpaceDE w:val="0"/>
        <w:autoSpaceDN w:val="0"/>
        <w:adjustRightInd w:val="0"/>
        <w:spacing w:line="400" w:lineRule="exact"/>
        <w:ind w:firstLine="480" w:firstLineChars="200"/>
        <w:jc w:val="left"/>
        <w:rPr>
          <w:rFonts w:ascii="宋体" w:hAnsi="宋体" w:eastAsia="宋体" w:cs="仿宋"/>
          <w:sz w:val="24"/>
          <w:szCs w:val="24"/>
          <w:highlight w:val="none"/>
        </w:rPr>
      </w:pPr>
    </w:p>
    <w:p w14:paraId="40127DF5">
      <w:pPr>
        <w:spacing w:line="360" w:lineRule="auto"/>
        <w:ind w:firstLine="480" w:firstLineChars="200"/>
        <w:rPr>
          <w:rFonts w:ascii="宋体" w:hAnsi="宋体" w:eastAsia="宋体" w:cs="Times New Roman"/>
          <w:sz w:val="24"/>
          <w:szCs w:val="21"/>
          <w:highlight w:val="none"/>
        </w:rPr>
      </w:pPr>
      <w:r>
        <w:rPr>
          <w:rFonts w:hint="eastAsia" w:ascii="宋体" w:hAnsi="宋体" w:eastAsia="宋体" w:cs="Times New Roman"/>
          <w:sz w:val="24"/>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highlight w:val="none"/>
          <w:u w:val="single"/>
        </w:rPr>
        <w:t>（单位名称）</w:t>
      </w:r>
      <w:r>
        <w:rPr>
          <w:rFonts w:hint="eastAsia" w:ascii="宋体" w:hAnsi="宋体" w:eastAsia="宋体" w:cs="Times New Roman"/>
          <w:sz w:val="24"/>
          <w:szCs w:val="21"/>
          <w:highlight w:val="none"/>
        </w:rPr>
        <w:t>采购编号为</w:t>
      </w:r>
      <w:r>
        <w:rPr>
          <w:rFonts w:hint="eastAsia" w:ascii="宋体" w:hAnsi="宋体" w:eastAsia="宋体" w:cs="Times New Roman"/>
          <w:sz w:val="24"/>
          <w:szCs w:val="24"/>
          <w:highlight w:val="none"/>
          <w:u w:val="single"/>
        </w:rPr>
        <w:t>（采购编号）</w:t>
      </w:r>
      <w:r>
        <w:rPr>
          <w:rFonts w:hint="eastAsia" w:ascii="宋体" w:hAnsi="宋体" w:eastAsia="宋体" w:cs="Times New Roman"/>
          <w:sz w:val="24"/>
          <w:szCs w:val="21"/>
          <w:highlight w:val="none"/>
        </w:rPr>
        <w:t>，</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项目（项目名称）</w:t>
      </w:r>
      <w:r>
        <w:rPr>
          <w:rFonts w:hint="eastAsia" w:ascii="宋体" w:hAnsi="宋体" w:eastAsia="宋体" w:cs="Times New Roman"/>
          <w:sz w:val="24"/>
          <w:szCs w:val="21"/>
          <w:highlight w:val="none"/>
        </w:rPr>
        <w:t>（采购包号：**）采购活动由本单位提供服务。</w:t>
      </w:r>
    </w:p>
    <w:p w14:paraId="4A6EA813">
      <w:pPr>
        <w:spacing w:line="360" w:lineRule="auto"/>
        <w:ind w:firstLine="480" w:firstLineChars="200"/>
        <w:rPr>
          <w:rFonts w:ascii="宋体" w:hAnsi="宋体" w:eastAsia="宋体" w:cs="Times New Roman"/>
          <w:sz w:val="24"/>
          <w:szCs w:val="21"/>
          <w:highlight w:val="none"/>
        </w:rPr>
      </w:pPr>
      <w:r>
        <w:rPr>
          <w:rFonts w:hint="eastAsia" w:ascii="宋体" w:hAnsi="宋体" w:eastAsia="宋体" w:cs="Times New Roman"/>
          <w:sz w:val="24"/>
          <w:szCs w:val="21"/>
          <w:highlight w:val="none"/>
        </w:rPr>
        <w:t>本单位对上述声明的真实性负责。如有虚假，将依法承担相应责任。</w:t>
      </w:r>
    </w:p>
    <w:p w14:paraId="6CDE4ED8">
      <w:pPr>
        <w:spacing w:line="360" w:lineRule="auto"/>
        <w:ind w:firstLine="480" w:firstLineChars="200"/>
        <w:rPr>
          <w:rFonts w:ascii="宋体" w:hAnsi="宋体" w:eastAsia="宋体" w:cs="Times New Roman"/>
          <w:sz w:val="24"/>
          <w:szCs w:val="21"/>
          <w:highlight w:val="none"/>
        </w:rPr>
      </w:pPr>
    </w:p>
    <w:p w14:paraId="46FEB7FE">
      <w:pPr>
        <w:spacing w:line="360" w:lineRule="auto"/>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备注：</w:t>
      </w:r>
    </w:p>
    <w:p w14:paraId="4FF2CFE6">
      <w:pPr>
        <w:spacing w:line="360" w:lineRule="auto"/>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1</w:t>
      </w:r>
      <w:r>
        <w:rPr>
          <w:rFonts w:ascii="宋体" w:hAnsi="宋体" w:eastAsia="宋体" w:cs="Times New Roman"/>
          <w:sz w:val="24"/>
          <w:highlight w:val="none"/>
        </w:rPr>
        <w:t>.</w:t>
      </w:r>
      <w:r>
        <w:rPr>
          <w:rFonts w:hint="eastAsia" w:ascii="宋体" w:hAnsi="宋体" w:eastAsia="宋体" w:cs="Times New Roman"/>
          <w:sz w:val="24"/>
          <w:highlight w:val="none"/>
        </w:rPr>
        <w:t>专门面向中小微型企业采购的</w:t>
      </w:r>
      <w:r>
        <w:rPr>
          <w:rFonts w:ascii="宋体" w:hAnsi="宋体" w:eastAsia="宋体" w:cs="Times New Roman"/>
          <w:sz w:val="24"/>
          <w:highlight w:val="none"/>
        </w:rPr>
        <w:t>项目</w:t>
      </w:r>
      <w:r>
        <w:rPr>
          <w:rFonts w:hint="eastAsia" w:ascii="宋体" w:hAnsi="宋体" w:eastAsia="宋体" w:cs="Times New Roman"/>
          <w:sz w:val="24"/>
          <w:highlight w:val="none"/>
        </w:rPr>
        <w:t>，供应商为残疾人福利性单位并提供服务的必须提供此</w:t>
      </w:r>
      <w:r>
        <w:rPr>
          <w:rFonts w:ascii="宋体" w:hAnsi="宋体" w:eastAsia="宋体" w:cs="Times New Roman"/>
          <w:sz w:val="24"/>
          <w:highlight w:val="none"/>
        </w:rPr>
        <w:t>声明函</w:t>
      </w:r>
      <w:r>
        <w:rPr>
          <w:rFonts w:hint="eastAsia" w:ascii="宋体" w:hAnsi="宋体" w:eastAsia="宋体" w:cs="Times New Roman"/>
          <w:sz w:val="24"/>
          <w:highlight w:val="none"/>
        </w:rPr>
        <w:t>，</w:t>
      </w:r>
      <w:r>
        <w:rPr>
          <w:rFonts w:ascii="宋体" w:hAnsi="宋体" w:eastAsia="宋体" w:cs="Times New Roman"/>
          <w:sz w:val="24"/>
          <w:highlight w:val="none"/>
        </w:rPr>
        <w:t>否则将</w:t>
      </w:r>
      <w:r>
        <w:rPr>
          <w:rFonts w:hint="eastAsia" w:ascii="宋体" w:hAnsi="宋体" w:eastAsia="宋体" w:cs="Times New Roman"/>
          <w:sz w:val="24"/>
          <w:highlight w:val="none"/>
        </w:rPr>
        <w:t>不能</w:t>
      </w:r>
      <w:r>
        <w:rPr>
          <w:rFonts w:ascii="宋体" w:hAnsi="宋体" w:eastAsia="宋体" w:cs="Times New Roman"/>
          <w:sz w:val="24"/>
          <w:highlight w:val="none"/>
        </w:rPr>
        <w:t>通过资格审查</w:t>
      </w:r>
      <w:r>
        <w:rPr>
          <w:rFonts w:hint="eastAsia" w:ascii="宋体" w:hAnsi="宋体" w:eastAsia="宋体" w:cs="Times New Roman"/>
          <w:sz w:val="24"/>
          <w:highlight w:val="none"/>
        </w:rPr>
        <w:t>。</w:t>
      </w:r>
    </w:p>
    <w:p w14:paraId="6BB231B1">
      <w:pPr>
        <w:spacing w:line="360" w:lineRule="auto"/>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2.非专门面向中小微型企业采购的</w:t>
      </w:r>
      <w:r>
        <w:rPr>
          <w:rFonts w:ascii="宋体" w:hAnsi="宋体" w:eastAsia="宋体" w:cs="Times New Roman"/>
          <w:sz w:val="24"/>
          <w:highlight w:val="none"/>
        </w:rPr>
        <w:t>项目</w:t>
      </w:r>
      <w:r>
        <w:rPr>
          <w:rFonts w:hint="eastAsia" w:ascii="宋体" w:hAnsi="宋体" w:eastAsia="宋体" w:cs="Times New Roman"/>
          <w:sz w:val="24"/>
          <w:highlight w:val="none"/>
        </w:rPr>
        <w:t>，供应商如不提供此声明函，价格将不做相应扣除。</w:t>
      </w:r>
    </w:p>
    <w:p w14:paraId="6A8E6980">
      <w:pPr>
        <w:spacing w:line="360" w:lineRule="auto"/>
        <w:ind w:firstLine="480" w:firstLineChars="200"/>
        <w:rPr>
          <w:rFonts w:ascii="宋体" w:hAnsi="宋体" w:eastAsia="宋体" w:cs="Times New Roman"/>
          <w:sz w:val="24"/>
          <w:highlight w:val="none"/>
        </w:rPr>
      </w:pPr>
      <w:r>
        <w:rPr>
          <w:rFonts w:ascii="宋体" w:hAnsi="宋体" w:eastAsia="宋体" w:cs="Times New Roman"/>
          <w:sz w:val="24"/>
          <w:highlight w:val="none"/>
        </w:rPr>
        <w:t>3</w:t>
      </w:r>
      <w:r>
        <w:rPr>
          <w:rFonts w:hint="eastAsia" w:ascii="宋体" w:hAnsi="宋体" w:eastAsia="宋体" w:cs="Times New Roman"/>
          <w:sz w:val="24"/>
          <w:highlight w:val="none"/>
        </w:rPr>
        <w:t>.中标/成交供应商为残疾人福利性单位的，此声明函将随中标/成交结果同时公告，接受社会监督。</w:t>
      </w:r>
    </w:p>
    <w:p w14:paraId="4EF6A06F">
      <w:pPr>
        <w:spacing w:line="360" w:lineRule="auto"/>
        <w:ind w:firstLine="624" w:firstLineChars="200"/>
        <w:rPr>
          <w:rFonts w:ascii="仿宋_GB2312" w:hAnsi="Times New Roman" w:eastAsia="仿宋_GB2312" w:cs="Times New Roman"/>
          <w:spacing w:val="6"/>
          <w:sz w:val="30"/>
          <w:szCs w:val="30"/>
          <w:highlight w:val="none"/>
        </w:rPr>
      </w:pPr>
    </w:p>
    <w:p w14:paraId="527C4EB8">
      <w:pPr>
        <w:tabs>
          <w:tab w:val="left" w:pos="4860"/>
        </w:tabs>
        <w:spacing w:line="360" w:lineRule="auto"/>
        <w:jc w:val="right"/>
        <w:rPr>
          <w:rFonts w:ascii="宋体" w:hAnsi="宋体" w:eastAsia="宋体" w:cs="Times New Roman"/>
          <w:sz w:val="24"/>
          <w:szCs w:val="21"/>
          <w:highlight w:val="none"/>
        </w:rPr>
      </w:pPr>
      <w:r>
        <w:rPr>
          <w:rFonts w:hint="eastAsia" w:ascii="宋体" w:hAnsi="宋体" w:eastAsia="宋体" w:cs="Times New Roman"/>
          <w:sz w:val="24"/>
          <w:szCs w:val="21"/>
          <w:highlight w:val="none"/>
        </w:rPr>
        <w:t>供应商全称（加盖CA电子公章）：</w:t>
      </w:r>
    </w:p>
    <w:p w14:paraId="7BDF0C44">
      <w:pPr>
        <w:tabs>
          <w:tab w:val="left" w:pos="4860"/>
        </w:tabs>
        <w:spacing w:line="360" w:lineRule="auto"/>
        <w:ind w:right="240"/>
        <w:jc w:val="right"/>
        <w:rPr>
          <w:rFonts w:ascii="宋体" w:hAnsi="宋体" w:eastAsia="宋体" w:cs="Times New Roman"/>
          <w:sz w:val="24"/>
          <w:szCs w:val="21"/>
          <w:highlight w:val="none"/>
        </w:rPr>
      </w:pPr>
      <w:r>
        <w:rPr>
          <w:rFonts w:hint="eastAsia" w:ascii="宋体" w:hAnsi="宋体" w:eastAsia="宋体" w:cs="Times New Roman"/>
          <w:sz w:val="24"/>
          <w:szCs w:val="21"/>
          <w:highlight w:val="none"/>
        </w:rPr>
        <w:t>日  期：</w:t>
      </w:r>
      <w:r>
        <w:rPr>
          <w:rFonts w:hint="eastAsia" w:ascii="宋体" w:hAnsi="宋体" w:eastAsia="宋体" w:cs="Times New Roman"/>
          <w:color w:val="000000"/>
          <w:sz w:val="24"/>
          <w:szCs w:val="21"/>
          <w:highlight w:val="none"/>
        </w:rPr>
        <w:t>___年____月____日</w:t>
      </w:r>
    </w:p>
    <w:p w14:paraId="24F15E76">
      <w:pPr>
        <w:autoSpaceDE w:val="0"/>
        <w:autoSpaceDN w:val="0"/>
        <w:adjustRightInd w:val="0"/>
        <w:spacing w:line="400" w:lineRule="exact"/>
        <w:ind w:firstLine="480" w:firstLineChars="200"/>
        <w:jc w:val="left"/>
        <w:rPr>
          <w:rFonts w:ascii="宋体" w:hAnsi="宋体" w:eastAsia="宋体" w:cs="仿宋"/>
          <w:sz w:val="24"/>
          <w:szCs w:val="24"/>
          <w:highlight w:val="none"/>
        </w:rPr>
        <w:sectPr>
          <w:pgSz w:w="11906" w:h="16838"/>
          <w:pgMar w:top="1247" w:right="1247" w:bottom="1247" w:left="1247" w:header="680" w:footer="992" w:gutter="0"/>
          <w:pgNumType w:fmt="numberInDash"/>
          <w:cols w:space="720" w:num="1"/>
          <w:docGrid w:linePitch="312" w:charSpace="0"/>
        </w:sectPr>
      </w:pPr>
    </w:p>
    <w:p w14:paraId="43D17E5C">
      <w:pPr>
        <w:autoSpaceDE w:val="0"/>
        <w:autoSpaceDN w:val="0"/>
        <w:adjustRightInd w:val="0"/>
        <w:spacing w:line="400" w:lineRule="exact"/>
        <w:ind w:firstLine="480" w:firstLineChars="200"/>
        <w:jc w:val="left"/>
        <w:rPr>
          <w:rFonts w:ascii="宋体" w:hAnsi="宋体" w:eastAsia="宋体" w:cs="仿宋"/>
          <w:sz w:val="24"/>
          <w:szCs w:val="24"/>
          <w:highlight w:val="none"/>
        </w:rPr>
      </w:pPr>
    </w:p>
    <w:p w14:paraId="245F247B">
      <w:pPr>
        <w:spacing w:line="400" w:lineRule="exact"/>
        <w:jc w:val="center"/>
        <w:rPr>
          <w:rFonts w:ascii="黑体" w:hAnsi="黑体" w:eastAsia="黑体" w:cs="Times New Roman"/>
          <w:sz w:val="28"/>
          <w:szCs w:val="28"/>
          <w:highlight w:val="none"/>
        </w:rPr>
      </w:pPr>
      <w:r>
        <w:rPr>
          <w:rFonts w:hint="eastAsia" w:ascii="黑体" w:hAnsi="黑体" w:eastAsia="黑体" w:cs="Times New Roman"/>
          <w:sz w:val="28"/>
          <w:szCs w:val="28"/>
          <w:highlight w:val="none"/>
        </w:rPr>
        <w:t>三、关于符合本国产品标准的声明函</w:t>
      </w:r>
    </w:p>
    <w:p w14:paraId="5099F819">
      <w:pPr>
        <w:spacing w:line="400" w:lineRule="exact"/>
        <w:jc w:val="center"/>
        <w:rPr>
          <w:rFonts w:ascii="仿宋" w:hAnsi="仿宋" w:eastAsia="仿宋" w:cs="Times New Roman"/>
          <w:b/>
          <w:bCs/>
          <w:sz w:val="24"/>
          <w:szCs w:val="24"/>
          <w:highlight w:val="none"/>
        </w:rPr>
      </w:pPr>
      <w:r>
        <w:rPr>
          <w:rFonts w:hint="eastAsia" w:ascii="仿宋" w:hAnsi="仿宋" w:eastAsia="仿宋" w:cs="Times New Roman"/>
          <w:b/>
          <w:bCs/>
          <w:sz w:val="24"/>
          <w:szCs w:val="24"/>
          <w:highlight w:val="none"/>
        </w:rPr>
        <w:t>（非本国产品无需填写提供）</w:t>
      </w:r>
    </w:p>
    <w:p w14:paraId="6A0B121D">
      <w:pPr>
        <w:autoSpaceDE w:val="0"/>
        <w:autoSpaceDN w:val="0"/>
        <w:adjustRightInd w:val="0"/>
        <w:spacing w:line="400" w:lineRule="exact"/>
        <w:ind w:firstLine="480" w:firstLineChars="200"/>
        <w:jc w:val="left"/>
        <w:rPr>
          <w:rFonts w:ascii="宋体" w:hAnsi="宋体" w:eastAsia="宋体" w:cs="仿宋"/>
          <w:sz w:val="24"/>
          <w:szCs w:val="24"/>
          <w:highlight w:val="none"/>
        </w:rPr>
      </w:pPr>
    </w:p>
    <w:p w14:paraId="53EB5699">
      <w:pPr>
        <w:widowControl/>
        <w:spacing w:line="360" w:lineRule="auto"/>
        <w:ind w:firstLine="420"/>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751DBBCF">
      <w:pPr>
        <w:widowControl/>
        <w:spacing w:before="30" w:after="30" w:line="360" w:lineRule="auto"/>
        <w:ind w:firstLine="420"/>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shd w:val="clear" w:color="auto" w:fill="FFFFFF"/>
        </w:rPr>
        <w:t>1.</w:t>
      </w:r>
      <w:r>
        <w:rPr>
          <w:rFonts w:hint="eastAsia" w:ascii="宋体" w:hAnsi="宋体" w:eastAsia="宋体" w:cs="宋体"/>
          <w:color w:val="000000"/>
          <w:kern w:val="0"/>
          <w:sz w:val="24"/>
          <w:szCs w:val="24"/>
          <w:highlight w:val="none"/>
          <w:u w:val="single"/>
          <w:shd w:val="clear" w:color="auto" w:fill="FFFFFF"/>
        </w:rPr>
        <w:t>（产品名称1）</w:t>
      </w:r>
      <w:r>
        <w:rPr>
          <w:rFonts w:hint="eastAsia" w:ascii="宋体" w:hAnsi="宋体" w:eastAsia="宋体" w:cs="宋体"/>
          <w:color w:val="000000"/>
          <w:kern w:val="0"/>
          <w:sz w:val="24"/>
          <w:szCs w:val="24"/>
          <w:highlight w:val="none"/>
          <w:shd w:val="clear" w:color="auto" w:fill="FFFFFF"/>
          <w:vertAlign w:val="superscript"/>
        </w:rPr>
        <w:t>1</w:t>
      </w:r>
      <w:r>
        <w:rPr>
          <w:rFonts w:hint="eastAsia" w:ascii="宋体" w:hAnsi="宋体" w:eastAsia="宋体" w:cs="宋体"/>
          <w:color w:val="000000"/>
          <w:kern w:val="0"/>
          <w:sz w:val="24"/>
          <w:szCs w:val="24"/>
          <w:highlight w:val="none"/>
          <w:shd w:val="clear" w:color="auto" w:fill="FFFFFF"/>
        </w:rPr>
        <w:t>，生产厂为</w:t>
      </w:r>
      <w:r>
        <w:rPr>
          <w:rFonts w:hint="eastAsia" w:ascii="宋体" w:hAnsi="宋体" w:eastAsia="宋体" w:cs="宋体"/>
          <w:color w:val="000000"/>
          <w:kern w:val="0"/>
          <w:sz w:val="24"/>
          <w:szCs w:val="24"/>
          <w:highlight w:val="none"/>
          <w:u w:val="single"/>
          <w:shd w:val="clear" w:color="auto" w:fill="FFFFFF"/>
        </w:rPr>
        <w:t>（厂名）</w:t>
      </w:r>
      <w:r>
        <w:rPr>
          <w:rFonts w:hint="eastAsia" w:ascii="宋体" w:hAnsi="宋体" w:eastAsia="宋体" w:cs="宋体"/>
          <w:color w:val="000000"/>
          <w:kern w:val="0"/>
          <w:sz w:val="24"/>
          <w:szCs w:val="24"/>
          <w:highlight w:val="none"/>
          <w:shd w:val="clear" w:color="auto" w:fill="FFFFFF"/>
          <w:vertAlign w:val="superscript"/>
        </w:rPr>
        <w:t>2</w:t>
      </w:r>
      <w:r>
        <w:rPr>
          <w:rFonts w:hint="eastAsia" w:ascii="宋体" w:hAnsi="宋体" w:eastAsia="宋体" w:cs="宋体"/>
          <w:color w:val="000000"/>
          <w:kern w:val="0"/>
          <w:sz w:val="24"/>
          <w:szCs w:val="24"/>
          <w:highlight w:val="none"/>
          <w:shd w:val="clear" w:color="auto" w:fill="FFFFFF"/>
        </w:rPr>
        <w:t>，厂址为</w:t>
      </w:r>
      <w:r>
        <w:rPr>
          <w:rFonts w:hint="eastAsia" w:ascii="宋体" w:hAnsi="宋体" w:eastAsia="宋体" w:cs="宋体"/>
          <w:color w:val="000000"/>
          <w:kern w:val="0"/>
          <w:sz w:val="24"/>
          <w:szCs w:val="24"/>
          <w:highlight w:val="none"/>
          <w:u w:val="single"/>
          <w:shd w:val="clear" w:color="auto" w:fill="FFFFFF"/>
        </w:rPr>
        <w:t>（生产厂址）</w:t>
      </w:r>
      <w:r>
        <w:rPr>
          <w:rFonts w:hint="eastAsia" w:ascii="宋体" w:hAnsi="宋体" w:eastAsia="宋体" w:cs="宋体"/>
          <w:color w:val="000000"/>
          <w:kern w:val="0"/>
          <w:sz w:val="24"/>
          <w:szCs w:val="24"/>
          <w:highlight w:val="none"/>
          <w:shd w:val="clear" w:color="auto" w:fill="FFFFFF"/>
        </w:rPr>
        <w:t>。</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rPr>
        <w:t>的中国境内生产的组件成本占比≥</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vertAlign w:val="superscript"/>
        </w:rPr>
        <w:t>3</w:t>
      </w:r>
      <w:r>
        <w:rPr>
          <w:rFonts w:hint="eastAsia" w:ascii="宋体" w:hAnsi="宋体" w:eastAsia="宋体" w:cs="宋体"/>
          <w:color w:val="000000"/>
          <w:kern w:val="0"/>
          <w:sz w:val="24"/>
          <w:szCs w:val="24"/>
          <w:highlight w:val="none"/>
          <w:shd w:val="clear" w:color="auto" w:fill="FFFFFF"/>
        </w:rPr>
        <w:t>。</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rPr>
        <w:t>的</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vertAlign w:val="superscript"/>
        </w:rPr>
        <w:t>4</w:t>
      </w:r>
      <w:r>
        <w:rPr>
          <w:rFonts w:hint="eastAsia" w:ascii="宋体" w:hAnsi="宋体" w:eastAsia="宋体" w:cs="宋体"/>
          <w:color w:val="000000"/>
          <w:kern w:val="0"/>
          <w:sz w:val="24"/>
          <w:szCs w:val="24"/>
          <w:highlight w:val="none"/>
          <w:shd w:val="clear" w:color="auto" w:fill="FFFFFF"/>
        </w:rPr>
        <w:t>在中国境内生产。</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rPr>
        <w:t>的</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vertAlign w:val="superscript"/>
        </w:rPr>
        <w:t>5</w:t>
      </w:r>
      <w:r>
        <w:rPr>
          <w:rFonts w:hint="eastAsia" w:ascii="宋体" w:hAnsi="宋体" w:eastAsia="宋体" w:cs="宋体"/>
          <w:color w:val="000000"/>
          <w:kern w:val="0"/>
          <w:sz w:val="24"/>
          <w:szCs w:val="24"/>
          <w:highlight w:val="none"/>
          <w:shd w:val="clear" w:color="auto" w:fill="FFFFFF"/>
        </w:rPr>
        <w:t>在中国境内完成。</w:t>
      </w:r>
    </w:p>
    <w:p w14:paraId="1DDC5504">
      <w:pPr>
        <w:widowControl/>
        <w:spacing w:before="30" w:after="30" w:line="360" w:lineRule="auto"/>
        <w:ind w:firstLine="420"/>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shd w:val="clear" w:color="auto" w:fill="FFFFFF"/>
        </w:rPr>
        <w:t>2.</w:t>
      </w:r>
      <w:r>
        <w:rPr>
          <w:rFonts w:hint="eastAsia" w:ascii="宋体" w:hAnsi="宋体" w:eastAsia="宋体" w:cs="宋体"/>
          <w:color w:val="000000"/>
          <w:kern w:val="0"/>
          <w:sz w:val="24"/>
          <w:szCs w:val="24"/>
          <w:highlight w:val="none"/>
          <w:u w:val="single"/>
          <w:shd w:val="clear" w:color="auto" w:fill="FFFFFF"/>
        </w:rPr>
        <w:t>（产品名称2）</w:t>
      </w:r>
      <w:r>
        <w:rPr>
          <w:rFonts w:hint="eastAsia" w:ascii="宋体" w:hAnsi="宋体" w:eastAsia="宋体" w:cs="宋体"/>
          <w:color w:val="000000"/>
          <w:kern w:val="0"/>
          <w:sz w:val="24"/>
          <w:szCs w:val="24"/>
          <w:highlight w:val="none"/>
          <w:shd w:val="clear" w:color="auto" w:fill="FFFFFF"/>
        </w:rPr>
        <w:t>，生产厂为</w:t>
      </w:r>
      <w:r>
        <w:rPr>
          <w:rFonts w:hint="eastAsia" w:ascii="宋体" w:hAnsi="宋体" w:eastAsia="宋体" w:cs="宋体"/>
          <w:color w:val="000000"/>
          <w:kern w:val="0"/>
          <w:sz w:val="24"/>
          <w:szCs w:val="24"/>
          <w:highlight w:val="none"/>
          <w:u w:val="single"/>
          <w:shd w:val="clear" w:color="auto" w:fill="FFFFFF"/>
        </w:rPr>
        <w:t>（厂名）</w:t>
      </w:r>
      <w:r>
        <w:rPr>
          <w:rFonts w:hint="eastAsia" w:ascii="宋体" w:hAnsi="宋体" w:eastAsia="宋体" w:cs="宋体"/>
          <w:color w:val="000000"/>
          <w:kern w:val="0"/>
          <w:sz w:val="24"/>
          <w:szCs w:val="24"/>
          <w:highlight w:val="none"/>
          <w:shd w:val="clear" w:color="auto" w:fill="FFFFFF"/>
        </w:rPr>
        <w:t>，厂址为</w:t>
      </w:r>
      <w:r>
        <w:rPr>
          <w:rFonts w:hint="eastAsia" w:ascii="宋体" w:hAnsi="宋体" w:eastAsia="宋体" w:cs="宋体"/>
          <w:color w:val="000000"/>
          <w:kern w:val="0"/>
          <w:sz w:val="24"/>
          <w:szCs w:val="24"/>
          <w:highlight w:val="none"/>
          <w:u w:val="single"/>
          <w:shd w:val="clear" w:color="auto" w:fill="FFFFFF"/>
        </w:rPr>
        <w:t>（生产厂址）</w:t>
      </w:r>
      <w:r>
        <w:rPr>
          <w:rFonts w:hint="eastAsia" w:ascii="宋体" w:hAnsi="宋体" w:eastAsia="宋体" w:cs="宋体"/>
          <w:color w:val="000000"/>
          <w:kern w:val="0"/>
          <w:sz w:val="24"/>
          <w:szCs w:val="24"/>
          <w:highlight w:val="none"/>
          <w:shd w:val="clear" w:color="auto" w:fill="FFFFFF"/>
        </w:rPr>
        <w:t>。</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rPr>
        <w:t>的中国境内生产的组件成本占比≥</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rPr>
        <w:t>。</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rPr>
        <w:t>的</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rPr>
        <w:t>在中国境内生产。</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rPr>
        <w:t>的</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rPr>
        <w:t>在中国境内完成。</w:t>
      </w:r>
    </w:p>
    <w:p w14:paraId="79365BF7">
      <w:pPr>
        <w:widowControl/>
        <w:spacing w:before="30" w:after="30" w:line="360" w:lineRule="auto"/>
        <w:ind w:firstLine="420"/>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shd w:val="clear" w:color="auto" w:fill="FFFFFF"/>
        </w:rPr>
        <w:t>……</w:t>
      </w:r>
    </w:p>
    <w:p w14:paraId="6A12A5A7">
      <w:pPr>
        <w:widowControl/>
        <w:spacing w:before="30" w:after="30" w:line="360" w:lineRule="auto"/>
        <w:ind w:firstLine="420"/>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shd w:val="clear" w:color="auto" w:fill="FFFFFF"/>
        </w:rPr>
        <w:t>本公司（单位）对上述声明内容的真实性负责。如有虚假，愿承担相应法律责任。</w:t>
      </w:r>
    </w:p>
    <w:p w14:paraId="7CBDF5E0">
      <w:pPr>
        <w:widowControl/>
        <w:spacing w:before="30" w:after="30" w:line="0" w:lineRule="atLeast"/>
        <w:jc w:val="left"/>
        <w:rPr>
          <w:rFonts w:ascii="宋体" w:hAnsi="宋体" w:eastAsia="宋体" w:cs="宋体"/>
          <w:color w:val="000000"/>
          <w:kern w:val="0"/>
          <w:sz w:val="24"/>
          <w:szCs w:val="24"/>
          <w:highlight w:val="none"/>
        </w:rPr>
      </w:pPr>
    </w:p>
    <w:p w14:paraId="3E7E46AE">
      <w:pPr>
        <w:widowControl/>
        <w:spacing w:before="30" w:after="30" w:line="360" w:lineRule="auto"/>
        <w:ind w:right="480"/>
        <w:jc w:val="righ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shd w:val="clear" w:color="auto" w:fill="FFFFFF"/>
        </w:rPr>
        <w:t>公司（单位）名称（加盖CA电子公章）：</w:t>
      </w:r>
    </w:p>
    <w:p w14:paraId="7D96C03C">
      <w:pPr>
        <w:widowControl/>
        <w:spacing w:before="30" w:after="30" w:line="360" w:lineRule="auto"/>
        <w:ind w:right="960"/>
        <w:jc w:val="right"/>
        <w:rPr>
          <w:rFonts w:ascii="宋体" w:hAnsi="宋体" w:eastAsia="宋体" w:cs="宋体"/>
          <w:color w:val="000000"/>
          <w:kern w:val="0"/>
          <w:sz w:val="24"/>
          <w:szCs w:val="24"/>
          <w:highlight w:val="none"/>
        </w:rPr>
      </w:pPr>
      <w:r>
        <w:rPr>
          <w:rFonts w:hint="eastAsia" w:ascii="宋体" w:hAnsi="宋体" w:eastAsia="宋体" w:cs="Times New Roman"/>
          <w:sz w:val="24"/>
          <w:szCs w:val="21"/>
          <w:highlight w:val="none"/>
        </w:rPr>
        <w:t>日  期：</w:t>
      </w:r>
      <w:r>
        <w:rPr>
          <w:rFonts w:hint="eastAsia" w:ascii="宋体" w:hAnsi="宋体" w:eastAsia="宋体" w:cs="Times New Roman"/>
          <w:color w:val="000000"/>
          <w:sz w:val="24"/>
          <w:szCs w:val="21"/>
          <w:highlight w:val="none"/>
        </w:rPr>
        <w:t>___年____月____日</w:t>
      </w:r>
    </w:p>
    <w:p w14:paraId="7BD8A967">
      <w:pPr>
        <w:widowControl/>
        <w:spacing w:before="30" w:after="30" w:line="0" w:lineRule="atLeast"/>
        <w:jc w:val="left"/>
        <w:rPr>
          <w:rFonts w:ascii="宋体" w:hAnsi="宋体" w:eastAsia="宋体" w:cs="宋体"/>
          <w:color w:val="000000"/>
          <w:kern w:val="0"/>
          <w:sz w:val="24"/>
          <w:szCs w:val="24"/>
          <w:highlight w:val="none"/>
          <w:shd w:val="clear" w:color="auto" w:fill="FFFFFF"/>
        </w:rPr>
      </w:pPr>
    </w:p>
    <w:p w14:paraId="46A06170">
      <w:pPr>
        <w:widowControl/>
        <w:spacing w:before="30" w:after="30" w:line="0" w:lineRule="atLeast"/>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shd w:val="clear" w:color="auto" w:fill="FFFFFF"/>
        </w:rPr>
        <w:t>_________________</w:t>
      </w:r>
    </w:p>
    <w:p w14:paraId="133C1C0F">
      <w:pPr>
        <w:widowControl/>
        <w:spacing w:before="30" w:after="3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shd w:val="clear" w:color="auto" w:fill="FFFFFF"/>
        </w:rPr>
        <w:t>1.产品如有型号，请在“产品名称”栏一并填写。</w:t>
      </w:r>
    </w:p>
    <w:p w14:paraId="23A1049D">
      <w:pPr>
        <w:widowControl/>
        <w:spacing w:before="30" w:after="3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shd w:val="clear" w:color="auto" w:fill="FFFFFF"/>
        </w:rPr>
        <w:t>2.生产厂名与厂址应与生产厂营业执照载明的相关信息保持一致。</w:t>
      </w:r>
    </w:p>
    <w:p w14:paraId="2ACCA2B1">
      <w:pPr>
        <w:widowControl/>
        <w:spacing w:before="30" w:after="3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shd w:val="clear" w:color="auto" w:fill="FFFFFF"/>
        </w:rPr>
        <w:t>3.该产品的中国境内生产的组件成本占比相关要求实施前，“规定比例”栏可不填，下同。</w:t>
      </w:r>
    </w:p>
    <w:p w14:paraId="03549F9F">
      <w:pPr>
        <w:widowControl/>
        <w:spacing w:before="30" w:after="3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shd w:val="clear" w:color="auto" w:fill="FFFFFF"/>
        </w:rPr>
        <w:t>4.该产品的关键组件要求实施前，“关键组件”栏可不填，下同。</w:t>
      </w:r>
    </w:p>
    <w:p w14:paraId="3B17D712">
      <w:pPr>
        <w:widowControl/>
        <w:spacing w:before="30" w:after="30" w:line="360" w:lineRule="auto"/>
        <w:jc w:val="left"/>
        <w:rPr>
          <w:rFonts w:ascii="宋体" w:hAnsi="宋体" w:eastAsia="宋体" w:cs="宋体"/>
          <w:color w:val="000000"/>
          <w:kern w:val="0"/>
          <w:sz w:val="24"/>
          <w:szCs w:val="24"/>
          <w:highlight w:val="none"/>
          <w:shd w:val="clear" w:color="auto" w:fill="FFFFFF"/>
        </w:rPr>
      </w:pPr>
      <w:r>
        <w:rPr>
          <w:rFonts w:hint="eastAsia" w:ascii="宋体" w:hAnsi="宋体" w:eastAsia="宋体" w:cs="宋体"/>
          <w:color w:val="000000"/>
          <w:kern w:val="0"/>
          <w:sz w:val="24"/>
          <w:szCs w:val="24"/>
          <w:highlight w:val="none"/>
          <w:shd w:val="clear" w:color="auto" w:fill="FFFFFF"/>
        </w:rPr>
        <w:t>5.该产品的关键工序要求实施前，“关键工序”栏可不填，下同。</w:t>
      </w:r>
    </w:p>
    <w:p w14:paraId="49C5DF32">
      <w:pPr>
        <w:widowControl/>
        <w:spacing w:before="30" w:after="30" w:line="360" w:lineRule="auto"/>
        <w:jc w:val="left"/>
        <w:rPr>
          <w:rFonts w:ascii="宋体" w:hAnsi="宋体" w:eastAsia="宋体" w:cs="宋体"/>
          <w:color w:val="000000"/>
          <w:kern w:val="0"/>
          <w:sz w:val="24"/>
          <w:szCs w:val="24"/>
          <w:highlight w:val="none"/>
          <w:shd w:val="clear" w:color="auto" w:fill="FFFFFF"/>
        </w:rPr>
      </w:pPr>
      <w:r>
        <w:rPr>
          <w:rFonts w:hint="eastAsia" w:ascii="宋体" w:hAnsi="宋体" w:eastAsia="宋体" w:cs="宋体"/>
          <w:color w:val="000000"/>
          <w:kern w:val="0"/>
          <w:sz w:val="24"/>
          <w:szCs w:val="24"/>
          <w:highlight w:val="none"/>
          <w:shd w:val="clear" w:color="auto" w:fill="FFFFFF"/>
        </w:rPr>
        <w:t>6.《声明函》中标注“</w:t>
      </w:r>
      <w:r>
        <w:rPr>
          <w:rFonts w:hint="eastAsia" w:ascii="宋体" w:hAnsi="宋体" w:eastAsia="宋体" w:cs="宋体"/>
          <w:color w:val="000000"/>
          <w:kern w:val="0"/>
          <w:sz w:val="24"/>
          <w:szCs w:val="24"/>
          <w:highlight w:val="none"/>
          <w:u w:val="single"/>
          <w:shd w:val="clear" w:color="auto" w:fill="FFFFFF"/>
        </w:rPr>
        <w:t xml:space="preserve">  /  </w:t>
      </w:r>
      <w:r>
        <w:rPr>
          <w:rFonts w:hint="eastAsia" w:ascii="宋体" w:hAnsi="宋体" w:eastAsia="宋体" w:cs="宋体"/>
          <w:color w:val="000000"/>
          <w:kern w:val="0"/>
          <w:sz w:val="24"/>
          <w:szCs w:val="24"/>
          <w:highlight w:val="none"/>
          <w:shd w:val="clear" w:color="auto" w:fill="FFFFFF"/>
        </w:rPr>
        <w:t>”的地方无需填写。</w:t>
      </w:r>
    </w:p>
    <w:sectPr>
      <w:pgSz w:w="11906" w:h="16838"/>
      <w:pgMar w:top="1247" w:right="1247" w:bottom="1247" w:left="1247"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金梅簡體中黑字形">
    <w:altName w:val="黑体"/>
    <w:panose1 w:val="00000000000000000000"/>
    <w:charset w:val="88"/>
    <w:family w:val="modern"/>
    <w:pitch w:val="default"/>
    <w:sig w:usb0="00000000" w:usb1="00000000" w:usb2="00000010" w:usb3="00000000" w:csb0="0010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Songti SC">
    <w:altName w:val="宋体"/>
    <w:panose1 w:val="00000000000000000000"/>
    <w:charset w:val="86"/>
    <w:family w:val="auto"/>
    <w:pitch w:val="default"/>
    <w:sig w:usb0="00000000" w:usb1="00000000" w:usb2="00000000" w:usb3="00000000" w:csb0="00040000" w:csb1="00000000"/>
  </w:font>
  <w:font w:name="楷体à.ā">
    <w:altName w:val="宋体"/>
    <w:panose1 w:val="00000000000000000000"/>
    <w:charset w:val="86"/>
    <w:family w:val="modern"/>
    <w:pitch w:val="default"/>
    <w:sig w:usb0="00000000" w:usb1="00000000" w:usb2="00000010" w:usb3="00000000" w:csb0="00040000" w:csb1="00000000"/>
  </w:font>
  <w:font w:name="Times New Roman (标题 CS)">
    <w:altName w:val="宋体"/>
    <w:panose1 w:val="00000000000000000000"/>
    <w:charset w:val="86"/>
    <w:family w:val="roman"/>
    <w:pitch w:val="default"/>
    <w:sig w:usb0="00000000" w:usb1="00000000" w:usb2="00000000" w:usb3="00000000" w:csb0="00000000" w:csb1="00000000"/>
  </w:font>
  <w:font w:name="Batang">
    <w:panose1 w:val="02030600000101010101"/>
    <w:charset w:val="81"/>
    <w:family w:val="auto"/>
    <w:pitch w:val="default"/>
    <w:sig w:usb0="B00002AF" w:usb1="69D77CFB" w:usb2="00000030" w:usb3="00000000" w:csb0="4008009F" w:csb1="DFD7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2982909"/>
      <w:docPartObj>
        <w:docPartGallery w:val="autotext"/>
      </w:docPartObj>
    </w:sdtPr>
    <w:sdtContent>
      <w:p w14:paraId="0713B145">
        <w:pPr>
          <w:pStyle w:val="20"/>
          <w:jc w:val="center"/>
        </w:pPr>
        <w:r>
          <w:fldChar w:fldCharType="begin"/>
        </w:r>
        <w:r>
          <w:instrText xml:space="preserve">PAGE   \* MERGEFORMAT</w:instrText>
        </w:r>
        <w:r>
          <w:fldChar w:fldCharType="separate"/>
        </w:r>
        <w:r>
          <w:rPr>
            <w:lang w:val="zh-CN"/>
          </w:rPr>
          <w:t>-</w:t>
        </w:r>
        <w:r>
          <w:t xml:space="preserve"> 31 -</w:t>
        </w:r>
        <w:r>
          <w:fldChar w:fldCharType="end"/>
        </w:r>
      </w:p>
    </w:sdtContent>
  </w:sdt>
  <w:p w14:paraId="5DBE3328">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17CB9">
    <w:pPr>
      <w:pStyle w:val="20"/>
      <w:framePr w:wrap="around" w:vAnchor="text" w:hAnchor="margin" w:xAlign="center" w:y="1"/>
      <w:rPr>
        <w:rStyle w:val="36"/>
      </w:rPr>
    </w:pPr>
    <w:r>
      <w:fldChar w:fldCharType="begin"/>
    </w:r>
    <w:r>
      <w:rPr>
        <w:rStyle w:val="36"/>
      </w:rPr>
      <w:instrText xml:space="preserve">PAGE  </w:instrText>
    </w:r>
    <w:r>
      <w:fldChar w:fldCharType="separate"/>
    </w:r>
    <w:r>
      <w:rPr>
        <w:rStyle w:val="36"/>
      </w:rPr>
      <w:t>1</w:t>
    </w:r>
    <w:r>
      <w:fldChar w:fldCharType="end"/>
    </w:r>
  </w:p>
  <w:p w14:paraId="03F43485">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B3A32">
    <w:pPr>
      <w:pBdr>
        <w:bottom w:val="single" w:color="auto" w:sz="6" w:space="1"/>
      </w:pBdr>
      <w:tabs>
        <w:tab w:val="center" w:pos="4153"/>
        <w:tab w:val="right" w:pos="8306"/>
      </w:tabs>
      <w:snapToGrid w:val="0"/>
      <w:jc w:val="left"/>
      <w:rPr>
        <w:rFonts w:ascii="黑体" w:hAnsi="黑体" w:eastAsia="黑体" w:cs="Times New Roman"/>
        <w:sz w:val="16"/>
        <w:szCs w:val="18"/>
      </w:rPr>
    </w:pPr>
    <w:r>
      <w:rPr>
        <w:rFonts w:hint="eastAsia" w:ascii="黑体" w:hAnsi="黑体" w:eastAsia="黑体" w:cs="Times New Roman"/>
        <w:bCs/>
        <w:sz w:val="16"/>
        <w:szCs w:val="18"/>
        <w:lang w:eastAsia="zh-CN"/>
      </w:rPr>
      <w:t>JSZC-320281-JZCG-G2026-0026</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江阴公路泵站智能化提升项目</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959B35"/>
    <w:multiLevelType w:val="singleLevel"/>
    <w:tmpl w:val="A6959B35"/>
    <w:lvl w:ilvl="0" w:tentative="0">
      <w:start w:val="2"/>
      <w:numFmt w:val="chineseCounting"/>
      <w:suff w:val="nothing"/>
      <w:lvlText w:val="%1、"/>
      <w:lvlJc w:val="left"/>
      <w:rPr>
        <w:rFonts w:hint="eastAsia"/>
      </w:rPr>
    </w:lvl>
  </w:abstractNum>
  <w:abstractNum w:abstractNumId="1">
    <w:nsid w:val="BD6E6D6D"/>
    <w:multiLevelType w:val="singleLevel"/>
    <w:tmpl w:val="BD6E6D6D"/>
    <w:lvl w:ilvl="0" w:tentative="0">
      <w:start w:val="1"/>
      <w:numFmt w:val="decimal"/>
      <w:suff w:val="nothing"/>
      <w:lvlText w:val="%1、"/>
      <w:lvlJc w:val="left"/>
    </w:lvl>
  </w:abstractNum>
  <w:abstractNum w:abstractNumId="2">
    <w:nsid w:val="CB2D6578"/>
    <w:multiLevelType w:val="singleLevel"/>
    <w:tmpl w:val="CB2D6578"/>
    <w:lvl w:ilvl="0" w:tentative="0">
      <w:start w:val="3"/>
      <w:numFmt w:val="chineseCounting"/>
      <w:suff w:val="nothing"/>
      <w:lvlText w:val="第%1章　"/>
      <w:lvlJc w:val="left"/>
      <w:rPr>
        <w:rFonts w:hint="eastAsia"/>
      </w:rPr>
    </w:lvl>
  </w:abstractNum>
  <w:abstractNum w:abstractNumId="3">
    <w:nsid w:val="4635E469"/>
    <w:multiLevelType w:val="singleLevel"/>
    <w:tmpl w:val="4635E469"/>
    <w:lvl w:ilvl="0" w:tentative="0">
      <w:start w:val="1"/>
      <w:numFmt w:val="decimal"/>
      <w:suff w:val="nothing"/>
      <w:lvlText w:val="%1、"/>
      <w:lvlJc w:val="left"/>
      <w:rPr>
        <w:rFonts w:hint="default"/>
        <w:b w:val="0"/>
        <w:bCs w:val="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4AF"/>
    <w:rsid w:val="0000027E"/>
    <w:rsid w:val="00000B4E"/>
    <w:rsid w:val="00005224"/>
    <w:rsid w:val="00005861"/>
    <w:rsid w:val="00005E21"/>
    <w:rsid w:val="00006B0B"/>
    <w:rsid w:val="00007B4C"/>
    <w:rsid w:val="00011276"/>
    <w:rsid w:val="00017889"/>
    <w:rsid w:val="00021286"/>
    <w:rsid w:val="000239A4"/>
    <w:rsid w:val="00025B12"/>
    <w:rsid w:val="000270F7"/>
    <w:rsid w:val="00027E3E"/>
    <w:rsid w:val="00027E8F"/>
    <w:rsid w:val="0003541A"/>
    <w:rsid w:val="00036DD0"/>
    <w:rsid w:val="00045215"/>
    <w:rsid w:val="0005355C"/>
    <w:rsid w:val="00055370"/>
    <w:rsid w:val="00055A27"/>
    <w:rsid w:val="00055C02"/>
    <w:rsid w:val="00055DA8"/>
    <w:rsid w:val="00067126"/>
    <w:rsid w:val="0006715D"/>
    <w:rsid w:val="0007081A"/>
    <w:rsid w:val="00074E9F"/>
    <w:rsid w:val="00075906"/>
    <w:rsid w:val="000770AB"/>
    <w:rsid w:val="000823BB"/>
    <w:rsid w:val="000856A0"/>
    <w:rsid w:val="00085E37"/>
    <w:rsid w:val="0008683D"/>
    <w:rsid w:val="00086BCD"/>
    <w:rsid w:val="000960FF"/>
    <w:rsid w:val="0009647B"/>
    <w:rsid w:val="000970A1"/>
    <w:rsid w:val="00097F91"/>
    <w:rsid w:val="000A3102"/>
    <w:rsid w:val="000A4036"/>
    <w:rsid w:val="000A436D"/>
    <w:rsid w:val="000A4ABD"/>
    <w:rsid w:val="000A56F9"/>
    <w:rsid w:val="000A5AB5"/>
    <w:rsid w:val="000B38C5"/>
    <w:rsid w:val="000B43D9"/>
    <w:rsid w:val="000B5ED8"/>
    <w:rsid w:val="000B61EC"/>
    <w:rsid w:val="000B6AFB"/>
    <w:rsid w:val="000B7629"/>
    <w:rsid w:val="000C06D0"/>
    <w:rsid w:val="000C0B57"/>
    <w:rsid w:val="000C10D8"/>
    <w:rsid w:val="000C2D3A"/>
    <w:rsid w:val="000C3AE1"/>
    <w:rsid w:val="000C47F2"/>
    <w:rsid w:val="000C6A28"/>
    <w:rsid w:val="000C6DB3"/>
    <w:rsid w:val="000D0CE4"/>
    <w:rsid w:val="000D6C4A"/>
    <w:rsid w:val="000E0F42"/>
    <w:rsid w:val="000E2A2D"/>
    <w:rsid w:val="000E4113"/>
    <w:rsid w:val="000E4CB8"/>
    <w:rsid w:val="000F5FDC"/>
    <w:rsid w:val="00100262"/>
    <w:rsid w:val="00100770"/>
    <w:rsid w:val="001017C8"/>
    <w:rsid w:val="00103637"/>
    <w:rsid w:val="00103E5B"/>
    <w:rsid w:val="00104391"/>
    <w:rsid w:val="001064CA"/>
    <w:rsid w:val="001101E4"/>
    <w:rsid w:val="00112046"/>
    <w:rsid w:val="001160AD"/>
    <w:rsid w:val="00116D86"/>
    <w:rsid w:val="00117CF2"/>
    <w:rsid w:val="0012185B"/>
    <w:rsid w:val="00123569"/>
    <w:rsid w:val="0012428A"/>
    <w:rsid w:val="001244D7"/>
    <w:rsid w:val="00126634"/>
    <w:rsid w:val="00130555"/>
    <w:rsid w:val="001348B9"/>
    <w:rsid w:val="00136E16"/>
    <w:rsid w:val="0014006A"/>
    <w:rsid w:val="001401C5"/>
    <w:rsid w:val="001468DF"/>
    <w:rsid w:val="00146D79"/>
    <w:rsid w:val="00150C1F"/>
    <w:rsid w:val="00152202"/>
    <w:rsid w:val="001542C8"/>
    <w:rsid w:val="00154C2B"/>
    <w:rsid w:val="00160413"/>
    <w:rsid w:val="00164924"/>
    <w:rsid w:val="001659E2"/>
    <w:rsid w:val="00166436"/>
    <w:rsid w:val="0016722B"/>
    <w:rsid w:val="00167AEC"/>
    <w:rsid w:val="0017145E"/>
    <w:rsid w:val="00173E47"/>
    <w:rsid w:val="0017455C"/>
    <w:rsid w:val="0017532D"/>
    <w:rsid w:val="00175546"/>
    <w:rsid w:val="00182B48"/>
    <w:rsid w:val="00183CCD"/>
    <w:rsid w:val="001858CD"/>
    <w:rsid w:val="00187182"/>
    <w:rsid w:val="0018753B"/>
    <w:rsid w:val="00187898"/>
    <w:rsid w:val="00190EB1"/>
    <w:rsid w:val="00193163"/>
    <w:rsid w:val="00193E30"/>
    <w:rsid w:val="0019759D"/>
    <w:rsid w:val="001A397F"/>
    <w:rsid w:val="001B0E75"/>
    <w:rsid w:val="001B18C8"/>
    <w:rsid w:val="001B198A"/>
    <w:rsid w:val="001B1E44"/>
    <w:rsid w:val="001B276C"/>
    <w:rsid w:val="001C0189"/>
    <w:rsid w:val="001C0528"/>
    <w:rsid w:val="001C09BB"/>
    <w:rsid w:val="001C3790"/>
    <w:rsid w:val="001C4342"/>
    <w:rsid w:val="001D015C"/>
    <w:rsid w:val="001D3860"/>
    <w:rsid w:val="001D3F26"/>
    <w:rsid w:val="001D41F4"/>
    <w:rsid w:val="001D6237"/>
    <w:rsid w:val="001D74F5"/>
    <w:rsid w:val="001D7DD1"/>
    <w:rsid w:val="001E0E19"/>
    <w:rsid w:val="001E260D"/>
    <w:rsid w:val="001F327A"/>
    <w:rsid w:val="001F36B7"/>
    <w:rsid w:val="001F3FC8"/>
    <w:rsid w:val="001F4927"/>
    <w:rsid w:val="001F557A"/>
    <w:rsid w:val="001F55C8"/>
    <w:rsid w:val="001F5BF2"/>
    <w:rsid w:val="00205051"/>
    <w:rsid w:val="00206D83"/>
    <w:rsid w:val="00210204"/>
    <w:rsid w:val="002103DB"/>
    <w:rsid w:val="00211AFB"/>
    <w:rsid w:val="002121A2"/>
    <w:rsid w:val="00212282"/>
    <w:rsid w:val="00212F4B"/>
    <w:rsid w:val="002133BD"/>
    <w:rsid w:val="0021642C"/>
    <w:rsid w:val="002170D7"/>
    <w:rsid w:val="00217B5E"/>
    <w:rsid w:val="002211B5"/>
    <w:rsid w:val="0022389C"/>
    <w:rsid w:val="00224904"/>
    <w:rsid w:val="002259D6"/>
    <w:rsid w:val="00226BE2"/>
    <w:rsid w:val="002278D7"/>
    <w:rsid w:val="00230F00"/>
    <w:rsid w:val="00233DD5"/>
    <w:rsid w:val="00236007"/>
    <w:rsid w:val="00240BF2"/>
    <w:rsid w:val="00242855"/>
    <w:rsid w:val="002444F4"/>
    <w:rsid w:val="00244E63"/>
    <w:rsid w:val="00245571"/>
    <w:rsid w:val="00245B9B"/>
    <w:rsid w:val="00252384"/>
    <w:rsid w:val="00252F8B"/>
    <w:rsid w:val="00253EE6"/>
    <w:rsid w:val="00254044"/>
    <w:rsid w:val="0025682B"/>
    <w:rsid w:val="002605C2"/>
    <w:rsid w:val="0026451B"/>
    <w:rsid w:val="00266189"/>
    <w:rsid w:val="00271E86"/>
    <w:rsid w:val="00272268"/>
    <w:rsid w:val="0027389B"/>
    <w:rsid w:val="00273A79"/>
    <w:rsid w:val="00273AFA"/>
    <w:rsid w:val="0027634C"/>
    <w:rsid w:val="00281C9B"/>
    <w:rsid w:val="00282291"/>
    <w:rsid w:val="0028365C"/>
    <w:rsid w:val="0028483D"/>
    <w:rsid w:val="00285D39"/>
    <w:rsid w:val="00291A0D"/>
    <w:rsid w:val="00291DEC"/>
    <w:rsid w:val="00291EF8"/>
    <w:rsid w:val="00292C01"/>
    <w:rsid w:val="002940EF"/>
    <w:rsid w:val="002A24A0"/>
    <w:rsid w:val="002A5CBE"/>
    <w:rsid w:val="002A6B5E"/>
    <w:rsid w:val="002A76A9"/>
    <w:rsid w:val="002B0C92"/>
    <w:rsid w:val="002B2C13"/>
    <w:rsid w:val="002B414E"/>
    <w:rsid w:val="002B4B5A"/>
    <w:rsid w:val="002B4D0F"/>
    <w:rsid w:val="002B55AE"/>
    <w:rsid w:val="002B6620"/>
    <w:rsid w:val="002B6D82"/>
    <w:rsid w:val="002C040B"/>
    <w:rsid w:val="002C0E32"/>
    <w:rsid w:val="002C50B4"/>
    <w:rsid w:val="002C553E"/>
    <w:rsid w:val="002C6815"/>
    <w:rsid w:val="002D0DB2"/>
    <w:rsid w:val="002D2060"/>
    <w:rsid w:val="002D37D0"/>
    <w:rsid w:val="002D4A57"/>
    <w:rsid w:val="002D4D0C"/>
    <w:rsid w:val="002D522E"/>
    <w:rsid w:val="002D5D44"/>
    <w:rsid w:val="002D5EA4"/>
    <w:rsid w:val="002D62F2"/>
    <w:rsid w:val="002D6DF4"/>
    <w:rsid w:val="002E69E6"/>
    <w:rsid w:val="002F1967"/>
    <w:rsid w:val="002F2478"/>
    <w:rsid w:val="002F2A19"/>
    <w:rsid w:val="002F2CAB"/>
    <w:rsid w:val="002F2CC1"/>
    <w:rsid w:val="00300FFD"/>
    <w:rsid w:val="00310E1C"/>
    <w:rsid w:val="003117F3"/>
    <w:rsid w:val="0031252A"/>
    <w:rsid w:val="00312A61"/>
    <w:rsid w:val="0031502C"/>
    <w:rsid w:val="0032028B"/>
    <w:rsid w:val="00320320"/>
    <w:rsid w:val="00321E55"/>
    <w:rsid w:val="00326968"/>
    <w:rsid w:val="00332CEE"/>
    <w:rsid w:val="0033397E"/>
    <w:rsid w:val="003339FF"/>
    <w:rsid w:val="00334588"/>
    <w:rsid w:val="00335938"/>
    <w:rsid w:val="0034039D"/>
    <w:rsid w:val="00340BCE"/>
    <w:rsid w:val="0034483E"/>
    <w:rsid w:val="003463AF"/>
    <w:rsid w:val="003477E2"/>
    <w:rsid w:val="003521F6"/>
    <w:rsid w:val="00352E67"/>
    <w:rsid w:val="00353F2A"/>
    <w:rsid w:val="003573ED"/>
    <w:rsid w:val="0035776E"/>
    <w:rsid w:val="00360ACA"/>
    <w:rsid w:val="00361E97"/>
    <w:rsid w:val="00363A64"/>
    <w:rsid w:val="00363E61"/>
    <w:rsid w:val="0036425C"/>
    <w:rsid w:val="00364C4E"/>
    <w:rsid w:val="00366DA3"/>
    <w:rsid w:val="00370B17"/>
    <w:rsid w:val="00370B80"/>
    <w:rsid w:val="00373762"/>
    <w:rsid w:val="003746E3"/>
    <w:rsid w:val="00374F16"/>
    <w:rsid w:val="003752E4"/>
    <w:rsid w:val="0037608F"/>
    <w:rsid w:val="003767E2"/>
    <w:rsid w:val="00377CFC"/>
    <w:rsid w:val="0038247A"/>
    <w:rsid w:val="003827A2"/>
    <w:rsid w:val="00385388"/>
    <w:rsid w:val="00387195"/>
    <w:rsid w:val="0039084F"/>
    <w:rsid w:val="00392BED"/>
    <w:rsid w:val="003A1DBC"/>
    <w:rsid w:val="003A20EE"/>
    <w:rsid w:val="003A24D7"/>
    <w:rsid w:val="003A380B"/>
    <w:rsid w:val="003A3F24"/>
    <w:rsid w:val="003A494B"/>
    <w:rsid w:val="003A754B"/>
    <w:rsid w:val="003B01EC"/>
    <w:rsid w:val="003B1C2D"/>
    <w:rsid w:val="003B648B"/>
    <w:rsid w:val="003B748F"/>
    <w:rsid w:val="003C22A6"/>
    <w:rsid w:val="003C3BE3"/>
    <w:rsid w:val="003C40F1"/>
    <w:rsid w:val="003C4F70"/>
    <w:rsid w:val="003C7E8F"/>
    <w:rsid w:val="003D00D3"/>
    <w:rsid w:val="003D3282"/>
    <w:rsid w:val="003D4ACA"/>
    <w:rsid w:val="003D4CBC"/>
    <w:rsid w:val="003D6B53"/>
    <w:rsid w:val="003D736D"/>
    <w:rsid w:val="003E0798"/>
    <w:rsid w:val="003E0E0E"/>
    <w:rsid w:val="003E253E"/>
    <w:rsid w:val="003E5F83"/>
    <w:rsid w:val="003E72D8"/>
    <w:rsid w:val="003F1E1C"/>
    <w:rsid w:val="003F2CFE"/>
    <w:rsid w:val="003F4042"/>
    <w:rsid w:val="003F5166"/>
    <w:rsid w:val="00400EA6"/>
    <w:rsid w:val="00401873"/>
    <w:rsid w:val="00403AD5"/>
    <w:rsid w:val="00405485"/>
    <w:rsid w:val="0040640E"/>
    <w:rsid w:val="004078DB"/>
    <w:rsid w:val="00410D1C"/>
    <w:rsid w:val="00411FD8"/>
    <w:rsid w:val="00412602"/>
    <w:rsid w:val="00414445"/>
    <w:rsid w:val="00415A3C"/>
    <w:rsid w:val="00415BCF"/>
    <w:rsid w:val="00415FB9"/>
    <w:rsid w:val="004170F8"/>
    <w:rsid w:val="00420B3D"/>
    <w:rsid w:val="00422F2C"/>
    <w:rsid w:val="00425A2C"/>
    <w:rsid w:val="00425C71"/>
    <w:rsid w:val="00432EB1"/>
    <w:rsid w:val="00435547"/>
    <w:rsid w:val="004374BF"/>
    <w:rsid w:val="00444985"/>
    <w:rsid w:val="00444B5F"/>
    <w:rsid w:val="00447A1F"/>
    <w:rsid w:val="004524D6"/>
    <w:rsid w:val="00454BBB"/>
    <w:rsid w:val="00457480"/>
    <w:rsid w:val="00460E83"/>
    <w:rsid w:val="0046133E"/>
    <w:rsid w:val="00462BD2"/>
    <w:rsid w:val="00465206"/>
    <w:rsid w:val="0046567E"/>
    <w:rsid w:val="00465842"/>
    <w:rsid w:val="004722A2"/>
    <w:rsid w:val="00474DEE"/>
    <w:rsid w:val="00477A07"/>
    <w:rsid w:val="00482766"/>
    <w:rsid w:val="00483881"/>
    <w:rsid w:val="00485B41"/>
    <w:rsid w:val="00486F83"/>
    <w:rsid w:val="00491517"/>
    <w:rsid w:val="00495C09"/>
    <w:rsid w:val="00495EED"/>
    <w:rsid w:val="0049757D"/>
    <w:rsid w:val="00497B5F"/>
    <w:rsid w:val="004A03B5"/>
    <w:rsid w:val="004A26A4"/>
    <w:rsid w:val="004A2A46"/>
    <w:rsid w:val="004A375F"/>
    <w:rsid w:val="004A4D56"/>
    <w:rsid w:val="004A6046"/>
    <w:rsid w:val="004A6A9E"/>
    <w:rsid w:val="004B3585"/>
    <w:rsid w:val="004B6008"/>
    <w:rsid w:val="004B696F"/>
    <w:rsid w:val="004C0253"/>
    <w:rsid w:val="004C1511"/>
    <w:rsid w:val="004C4EE6"/>
    <w:rsid w:val="004C6599"/>
    <w:rsid w:val="004C6E2C"/>
    <w:rsid w:val="004C6F12"/>
    <w:rsid w:val="004C7285"/>
    <w:rsid w:val="004C733A"/>
    <w:rsid w:val="004D0EC8"/>
    <w:rsid w:val="004D0F7C"/>
    <w:rsid w:val="004D79D7"/>
    <w:rsid w:val="004D7DDD"/>
    <w:rsid w:val="004E03FB"/>
    <w:rsid w:val="004E2A2B"/>
    <w:rsid w:val="004E3369"/>
    <w:rsid w:val="004E543A"/>
    <w:rsid w:val="004E59CF"/>
    <w:rsid w:val="004E5EAE"/>
    <w:rsid w:val="004E696C"/>
    <w:rsid w:val="004E6C92"/>
    <w:rsid w:val="004E71D0"/>
    <w:rsid w:val="004F0693"/>
    <w:rsid w:val="004F1CB4"/>
    <w:rsid w:val="004F3209"/>
    <w:rsid w:val="004F36FE"/>
    <w:rsid w:val="004F4804"/>
    <w:rsid w:val="004F5EC4"/>
    <w:rsid w:val="004F67C2"/>
    <w:rsid w:val="004F6CEA"/>
    <w:rsid w:val="00501533"/>
    <w:rsid w:val="005026B9"/>
    <w:rsid w:val="0051390F"/>
    <w:rsid w:val="005140CF"/>
    <w:rsid w:val="00514444"/>
    <w:rsid w:val="005149F0"/>
    <w:rsid w:val="0051679F"/>
    <w:rsid w:val="00516DAF"/>
    <w:rsid w:val="0052104F"/>
    <w:rsid w:val="00521E2B"/>
    <w:rsid w:val="0052233D"/>
    <w:rsid w:val="00522523"/>
    <w:rsid w:val="00523DD2"/>
    <w:rsid w:val="00524C28"/>
    <w:rsid w:val="00524E82"/>
    <w:rsid w:val="00525CC5"/>
    <w:rsid w:val="0052634F"/>
    <w:rsid w:val="00530D51"/>
    <w:rsid w:val="00530E3B"/>
    <w:rsid w:val="00530EB8"/>
    <w:rsid w:val="005342E7"/>
    <w:rsid w:val="00534376"/>
    <w:rsid w:val="0053503D"/>
    <w:rsid w:val="00537242"/>
    <w:rsid w:val="00544892"/>
    <w:rsid w:val="00544947"/>
    <w:rsid w:val="00544D3D"/>
    <w:rsid w:val="00545A43"/>
    <w:rsid w:val="0055037D"/>
    <w:rsid w:val="0055143D"/>
    <w:rsid w:val="005523D5"/>
    <w:rsid w:val="00552C0F"/>
    <w:rsid w:val="00561425"/>
    <w:rsid w:val="00563339"/>
    <w:rsid w:val="00564F60"/>
    <w:rsid w:val="00566389"/>
    <w:rsid w:val="00566743"/>
    <w:rsid w:val="00567538"/>
    <w:rsid w:val="005707E5"/>
    <w:rsid w:val="00571DB8"/>
    <w:rsid w:val="005724CB"/>
    <w:rsid w:val="0057403F"/>
    <w:rsid w:val="00577135"/>
    <w:rsid w:val="00580C22"/>
    <w:rsid w:val="0058254E"/>
    <w:rsid w:val="00582772"/>
    <w:rsid w:val="00583164"/>
    <w:rsid w:val="00585433"/>
    <w:rsid w:val="00586B02"/>
    <w:rsid w:val="005872D2"/>
    <w:rsid w:val="005873CB"/>
    <w:rsid w:val="005908FD"/>
    <w:rsid w:val="0059103F"/>
    <w:rsid w:val="005929DC"/>
    <w:rsid w:val="005937BD"/>
    <w:rsid w:val="0059697E"/>
    <w:rsid w:val="005A4E8E"/>
    <w:rsid w:val="005A54B3"/>
    <w:rsid w:val="005A6D58"/>
    <w:rsid w:val="005A7977"/>
    <w:rsid w:val="005B10D3"/>
    <w:rsid w:val="005B2763"/>
    <w:rsid w:val="005B2A5F"/>
    <w:rsid w:val="005B36FC"/>
    <w:rsid w:val="005B5B5E"/>
    <w:rsid w:val="005B6B83"/>
    <w:rsid w:val="005B722F"/>
    <w:rsid w:val="005C20BB"/>
    <w:rsid w:val="005C3C07"/>
    <w:rsid w:val="005C4A9E"/>
    <w:rsid w:val="005C596F"/>
    <w:rsid w:val="005C60B9"/>
    <w:rsid w:val="005C6E19"/>
    <w:rsid w:val="005C7C05"/>
    <w:rsid w:val="005C7E67"/>
    <w:rsid w:val="005D08B6"/>
    <w:rsid w:val="005D1AE0"/>
    <w:rsid w:val="005D3AF6"/>
    <w:rsid w:val="005D417F"/>
    <w:rsid w:val="005D6A96"/>
    <w:rsid w:val="005E059E"/>
    <w:rsid w:val="005E23E9"/>
    <w:rsid w:val="005E3F0F"/>
    <w:rsid w:val="005E42F0"/>
    <w:rsid w:val="005E5DDB"/>
    <w:rsid w:val="005E72DB"/>
    <w:rsid w:val="005F0BD1"/>
    <w:rsid w:val="005F11ED"/>
    <w:rsid w:val="005F2651"/>
    <w:rsid w:val="005F3B8A"/>
    <w:rsid w:val="005F3BAA"/>
    <w:rsid w:val="005F3D6F"/>
    <w:rsid w:val="005F5533"/>
    <w:rsid w:val="005F6496"/>
    <w:rsid w:val="006015B3"/>
    <w:rsid w:val="0060313F"/>
    <w:rsid w:val="0060332D"/>
    <w:rsid w:val="006041AF"/>
    <w:rsid w:val="00604662"/>
    <w:rsid w:val="00605942"/>
    <w:rsid w:val="00606266"/>
    <w:rsid w:val="00610947"/>
    <w:rsid w:val="0061146C"/>
    <w:rsid w:val="00614F95"/>
    <w:rsid w:val="00615043"/>
    <w:rsid w:val="00615690"/>
    <w:rsid w:val="0061780E"/>
    <w:rsid w:val="00620A54"/>
    <w:rsid w:val="006216D5"/>
    <w:rsid w:val="00623E2B"/>
    <w:rsid w:val="0062510A"/>
    <w:rsid w:val="0062570E"/>
    <w:rsid w:val="00626F95"/>
    <w:rsid w:val="006310AE"/>
    <w:rsid w:val="00632B8F"/>
    <w:rsid w:val="00632C7E"/>
    <w:rsid w:val="0063401C"/>
    <w:rsid w:val="006340BA"/>
    <w:rsid w:val="00634837"/>
    <w:rsid w:val="00634AD9"/>
    <w:rsid w:val="0063525D"/>
    <w:rsid w:val="006357BF"/>
    <w:rsid w:val="0063778F"/>
    <w:rsid w:val="00640358"/>
    <w:rsid w:val="006432A9"/>
    <w:rsid w:val="00644657"/>
    <w:rsid w:val="006447C3"/>
    <w:rsid w:val="00644A5A"/>
    <w:rsid w:val="0064627A"/>
    <w:rsid w:val="006464AD"/>
    <w:rsid w:val="006467F2"/>
    <w:rsid w:val="00646EFD"/>
    <w:rsid w:val="006474D0"/>
    <w:rsid w:val="00647A11"/>
    <w:rsid w:val="00647C0F"/>
    <w:rsid w:val="00651A79"/>
    <w:rsid w:val="006561FD"/>
    <w:rsid w:val="00657620"/>
    <w:rsid w:val="00660179"/>
    <w:rsid w:val="00660E2F"/>
    <w:rsid w:val="00666DEF"/>
    <w:rsid w:val="00666FC2"/>
    <w:rsid w:val="00667156"/>
    <w:rsid w:val="0067048D"/>
    <w:rsid w:val="00671D96"/>
    <w:rsid w:val="006727FE"/>
    <w:rsid w:val="00673AAB"/>
    <w:rsid w:val="00673E40"/>
    <w:rsid w:val="0067556F"/>
    <w:rsid w:val="0067684F"/>
    <w:rsid w:val="00681EEA"/>
    <w:rsid w:val="00683236"/>
    <w:rsid w:val="0068464D"/>
    <w:rsid w:val="0068701F"/>
    <w:rsid w:val="00690BF1"/>
    <w:rsid w:val="0069102C"/>
    <w:rsid w:val="00692827"/>
    <w:rsid w:val="00692A9F"/>
    <w:rsid w:val="006934E9"/>
    <w:rsid w:val="00693C6B"/>
    <w:rsid w:val="00694307"/>
    <w:rsid w:val="006965B6"/>
    <w:rsid w:val="006A040F"/>
    <w:rsid w:val="006A1621"/>
    <w:rsid w:val="006A229E"/>
    <w:rsid w:val="006A259B"/>
    <w:rsid w:val="006A2C6A"/>
    <w:rsid w:val="006A4C86"/>
    <w:rsid w:val="006A5FDC"/>
    <w:rsid w:val="006A7400"/>
    <w:rsid w:val="006B0236"/>
    <w:rsid w:val="006B169A"/>
    <w:rsid w:val="006B21A5"/>
    <w:rsid w:val="006B340D"/>
    <w:rsid w:val="006B6F4D"/>
    <w:rsid w:val="006B705F"/>
    <w:rsid w:val="006B75C1"/>
    <w:rsid w:val="006B7BF6"/>
    <w:rsid w:val="006B7C13"/>
    <w:rsid w:val="006C1F64"/>
    <w:rsid w:val="006C2F32"/>
    <w:rsid w:val="006C3F63"/>
    <w:rsid w:val="006C7E3E"/>
    <w:rsid w:val="006D0528"/>
    <w:rsid w:val="006D0AAE"/>
    <w:rsid w:val="006D3242"/>
    <w:rsid w:val="006D42CB"/>
    <w:rsid w:val="006D4DC7"/>
    <w:rsid w:val="006D7C41"/>
    <w:rsid w:val="006E0EA5"/>
    <w:rsid w:val="006E246D"/>
    <w:rsid w:val="006E30B7"/>
    <w:rsid w:val="006E5B7D"/>
    <w:rsid w:val="006E6F2A"/>
    <w:rsid w:val="006F0DB7"/>
    <w:rsid w:val="006F135D"/>
    <w:rsid w:val="006F4499"/>
    <w:rsid w:val="006F6F36"/>
    <w:rsid w:val="00704D79"/>
    <w:rsid w:val="00706632"/>
    <w:rsid w:val="00707C7D"/>
    <w:rsid w:val="007104B7"/>
    <w:rsid w:val="0071051D"/>
    <w:rsid w:val="00711326"/>
    <w:rsid w:val="00713E6D"/>
    <w:rsid w:val="007149DD"/>
    <w:rsid w:val="007152B9"/>
    <w:rsid w:val="00715EB8"/>
    <w:rsid w:val="00716183"/>
    <w:rsid w:val="0071644E"/>
    <w:rsid w:val="00717F20"/>
    <w:rsid w:val="007206BA"/>
    <w:rsid w:val="00720930"/>
    <w:rsid w:val="007211E9"/>
    <w:rsid w:val="007224D7"/>
    <w:rsid w:val="00724050"/>
    <w:rsid w:val="007244B4"/>
    <w:rsid w:val="00724B1A"/>
    <w:rsid w:val="00724C51"/>
    <w:rsid w:val="0072542E"/>
    <w:rsid w:val="00725B75"/>
    <w:rsid w:val="007269FA"/>
    <w:rsid w:val="00732899"/>
    <w:rsid w:val="00735FF0"/>
    <w:rsid w:val="007361C9"/>
    <w:rsid w:val="0073654F"/>
    <w:rsid w:val="007422AD"/>
    <w:rsid w:val="00742B55"/>
    <w:rsid w:val="00745794"/>
    <w:rsid w:val="00745DF5"/>
    <w:rsid w:val="00752217"/>
    <w:rsid w:val="007525DE"/>
    <w:rsid w:val="00753191"/>
    <w:rsid w:val="007539DA"/>
    <w:rsid w:val="007540DF"/>
    <w:rsid w:val="007554C1"/>
    <w:rsid w:val="00756616"/>
    <w:rsid w:val="00764B4A"/>
    <w:rsid w:val="00764CB6"/>
    <w:rsid w:val="00766C17"/>
    <w:rsid w:val="0077042E"/>
    <w:rsid w:val="00772283"/>
    <w:rsid w:val="00772E07"/>
    <w:rsid w:val="00773B97"/>
    <w:rsid w:val="00773C6C"/>
    <w:rsid w:val="007755EB"/>
    <w:rsid w:val="00776F12"/>
    <w:rsid w:val="00780480"/>
    <w:rsid w:val="00781848"/>
    <w:rsid w:val="00781B7A"/>
    <w:rsid w:val="00782B1A"/>
    <w:rsid w:val="00786C20"/>
    <w:rsid w:val="00787E0A"/>
    <w:rsid w:val="00790494"/>
    <w:rsid w:val="007905D4"/>
    <w:rsid w:val="0079063D"/>
    <w:rsid w:val="00790EE9"/>
    <w:rsid w:val="00791B54"/>
    <w:rsid w:val="0079326B"/>
    <w:rsid w:val="007973DC"/>
    <w:rsid w:val="007A111A"/>
    <w:rsid w:val="007A2605"/>
    <w:rsid w:val="007A2B87"/>
    <w:rsid w:val="007A3320"/>
    <w:rsid w:val="007A37FC"/>
    <w:rsid w:val="007B0B47"/>
    <w:rsid w:val="007B13E3"/>
    <w:rsid w:val="007B1EA5"/>
    <w:rsid w:val="007B67C2"/>
    <w:rsid w:val="007B7DB5"/>
    <w:rsid w:val="007C48DA"/>
    <w:rsid w:val="007C7640"/>
    <w:rsid w:val="007C7D6D"/>
    <w:rsid w:val="007D0D48"/>
    <w:rsid w:val="007D21E1"/>
    <w:rsid w:val="007D541C"/>
    <w:rsid w:val="007D5C6A"/>
    <w:rsid w:val="007D729A"/>
    <w:rsid w:val="007E04D2"/>
    <w:rsid w:val="007E360D"/>
    <w:rsid w:val="007E456C"/>
    <w:rsid w:val="007E6B71"/>
    <w:rsid w:val="007E701D"/>
    <w:rsid w:val="007F0234"/>
    <w:rsid w:val="007F6C33"/>
    <w:rsid w:val="008017F1"/>
    <w:rsid w:val="00802A13"/>
    <w:rsid w:val="00807C90"/>
    <w:rsid w:val="008117AC"/>
    <w:rsid w:val="008120FA"/>
    <w:rsid w:val="008128D3"/>
    <w:rsid w:val="0081381A"/>
    <w:rsid w:val="008166EC"/>
    <w:rsid w:val="0081763C"/>
    <w:rsid w:val="00823C6B"/>
    <w:rsid w:val="00823CA4"/>
    <w:rsid w:val="00824875"/>
    <w:rsid w:val="0082526B"/>
    <w:rsid w:val="00826E68"/>
    <w:rsid w:val="00827C81"/>
    <w:rsid w:val="00831F70"/>
    <w:rsid w:val="00834136"/>
    <w:rsid w:val="00837402"/>
    <w:rsid w:val="0084003F"/>
    <w:rsid w:val="0084086F"/>
    <w:rsid w:val="00841C81"/>
    <w:rsid w:val="0084254B"/>
    <w:rsid w:val="00843239"/>
    <w:rsid w:val="00847A39"/>
    <w:rsid w:val="0085047A"/>
    <w:rsid w:val="008505DA"/>
    <w:rsid w:val="008520FF"/>
    <w:rsid w:val="008526E6"/>
    <w:rsid w:val="00852899"/>
    <w:rsid w:val="00854730"/>
    <w:rsid w:val="00861865"/>
    <w:rsid w:val="008618C7"/>
    <w:rsid w:val="008623C0"/>
    <w:rsid w:val="008637B0"/>
    <w:rsid w:val="00866B5A"/>
    <w:rsid w:val="00866F99"/>
    <w:rsid w:val="008700E1"/>
    <w:rsid w:val="00871BB2"/>
    <w:rsid w:val="00871E5C"/>
    <w:rsid w:val="008753B9"/>
    <w:rsid w:val="00875845"/>
    <w:rsid w:val="0087774F"/>
    <w:rsid w:val="00881314"/>
    <w:rsid w:val="00881404"/>
    <w:rsid w:val="00883285"/>
    <w:rsid w:val="0088436F"/>
    <w:rsid w:val="008921E8"/>
    <w:rsid w:val="00892A29"/>
    <w:rsid w:val="0089385E"/>
    <w:rsid w:val="00893EA2"/>
    <w:rsid w:val="0089713B"/>
    <w:rsid w:val="008974F0"/>
    <w:rsid w:val="008A096C"/>
    <w:rsid w:val="008A319B"/>
    <w:rsid w:val="008A50D9"/>
    <w:rsid w:val="008A5A99"/>
    <w:rsid w:val="008B1618"/>
    <w:rsid w:val="008B2484"/>
    <w:rsid w:val="008B2577"/>
    <w:rsid w:val="008B5D33"/>
    <w:rsid w:val="008B6859"/>
    <w:rsid w:val="008C2380"/>
    <w:rsid w:val="008C2808"/>
    <w:rsid w:val="008C2F88"/>
    <w:rsid w:val="008C306C"/>
    <w:rsid w:val="008C4936"/>
    <w:rsid w:val="008C5C6C"/>
    <w:rsid w:val="008C6395"/>
    <w:rsid w:val="008D2E96"/>
    <w:rsid w:val="008D3CDA"/>
    <w:rsid w:val="008E0CC1"/>
    <w:rsid w:val="008E1A5F"/>
    <w:rsid w:val="008E4095"/>
    <w:rsid w:val="008E4160"/>
    <w:rsid w:val="008E6EC8"/>
    <w:rsid w:val="008E72E9"/>
    <w:rsid w:val="008E7573"/>
    <w:rsid w:val="008F420D"/>
    <w:rsid w:val="008F5A36"/>
    <w:rsid w:val="0090022D"/>
    <w:rsid w:val="00904BA8"/>
    <w:rsid w:val="00905A61"/>
    <w:rsid w:val="00912EB9"/>
    <w:rsid w:val="00917C85"/>
    <w:rsid w:val="00917EBF"/>
    <w:rsid w:val="00920281"/>
    <w:rsid w:val="009213E5"/>
    <w:rsid w:val="00921691"/>
    <w:rsid w:val="009216F8"/>
    <w:rsid w:val="00921859"/>
    <w:rsid w:val="00931786"/>
    <w:rsid w:val="00933E81"/>
    <w:rsid w:val="00942B88"/>
    <w:rsid w:val="00945D4D"/>
    <w:rsid w:val="00946F47"/>
    <w:rsid w:val="00946FA5"/>
    <w:rsid w:val="00947A7E"/>
    <w:rsid w:val="009514E8"/>
    <w:rsid w:val="009554DA"/>
    <w:rsid w:val="00956945"/>
    <w:rsid w:val="00960FD2"/>
    <w:rsid w:val="00961D24"/>
    <w:rsid w:val="00963FDF"/>
    <w:rsid w:val="00967F62"/>
    <w:rsid w:val="0097276B"/>
    <w:rsid w:val="00972DE4"/>
    <w:rsid w:val="009829D6"/>
    <w:rsid w:val="0099666C"/>
    <w:rsid w:val="009A1003"/>
    <w:rsid w:val="009A1B1F"/>
    <w:rsid w:val="009A37E2"/>
    <w:rsid w:val="009A5A0B"/>
    <w:rsid w:val="009B006C"/>
    <w:rsid w:val="009B0D20"/>
    <w:rsid w:val="009B1812"/>
    <w:rsid w:val="009B4DB7"/>
    <w:rsid w:val="009B517F"/>
    <w:rsid w:val="009B5222"/>
    <w:rsid w:val="009B5CCF"/>
    <w:rsid w:val="009C1CD6"/>
    <w:rsid w:val="009C3404"/>
    <w:rsid w:val="009C470A"/>
    <w:rsid w:val="009C47DF"/>
    <w:rsid w:val="009C6433"/>
    <w:rsid w:val="009D069F"/>
    <w:rsid w:val="009D0B03"/>
    <w:rsid w:val="009D15F0"/>
    <w:rsid w:val="009D2CBB"/>
    <w:rsid w:val="009D2EC0"/>
    <w:rsid w:val="009D400A"/>
    <w:rsid w:val="009D5C38"/>
    <w:rsid w:val="009E1E1F"/>
    <w:rsid w:val="009E353A"/>
    <w:rsid w:val="009E6482"/>
    <w:rsid w:val="009F0E6D"/>
    <w:rsid w:val="009F27D8"/>
    <w:rsid w:val="009F2BB0"/>
    <w:rsid w:val="009F387B"/>
    <w:rsid w:val="009F6571"/>
    <w:rsid w:val="00A003E5"/>
    <w:rsid w:val="00A04104"/>
    <w:rsid w:val="00A04117"/>
    <w:rsid w:val="00A059E1"/>
    <w:rsid w:val="00A079A5"/>
    <w:rsid w:val="00A104D4"/>
    <w:rsid w:val="00A109E9"/>
    <w:rsid w:val="00A14047"/>
    <w:rsid w:val="00A14F18"/>
    <w:rsid w:val="00A15394"/>
    <w:rsid w:val="00A22F94"/>
    <w:rsid w:val="00A234B0"/>
    <w:rsid w:val="00A31922"/>
    <w:rsid w:val="00A31A54"/>
    <w:rsid w:val="00A31C99"/>
    <w:rsid w:val="00A329ED"/>
    <w:rsid w:val="00A348E6"/>
    <w:rsid w:val="00A34F5E"/>
    <w:rsid w:val="00A35B6C"/>
    <w:rsid w:val="00A3692C"/>
    <w:rsid w:val="00A37C2C"/>
    <w:rsid w:val="00A4146C"/>
    <w:rsid w:val="00A438BE"/>
    <w:rsid w:val="00A43BAC"/>
    <w:rsid w:val="00A44CF7"/>
    <w:rsid w:val="00A45126"/>
    <w:rsid w:val="00A463BC"/>
    <w:rsid w:val="00A4659F"/>
    <w:rsid w:val="00A4733D"/>
    <w:rsid w:val="00A47777"/>
    <w:rsid w:val="00A50504"/>
    <w:rsid w:val="00A5079E"/>
    <w:rsid w:val="00A50A91"/>
    <w:rsid w:val="00A53DF3"/>
    <w:rsid w:val="00A557D4"/>
    <w:rsid w:val="00A55902"/>
    <w:rsid w:val="00A559CF"/>
    <w:rsid w:val="00A56086"/>
    <w:rsid w:val="00A57A0F"/>
    <w:rsid w:val="00A60A4D"/>
    <w:rsid w:val="00A63F39"/>
    <w:rsid w:val="00A664B6"/>
    <w:rsid w:val="00A66F6E"/>
    <w:rsid w:val="00A6786C"/>
    <w:rsid w:val="00A701D3"/>
    <w:rsid w:val="00A70FF4"/>
    <w:rsid w:val="00A74A91"/>
    <w:rsid w:val="00A7605C"/>
    <w:rsid w:val="00A77505"/>
    <w:rsid w:val="00A80AA2"/>
    <w:rsid w:val="00A81C70"/>
    <w:rsid w:val="00A82321"/>
    <w:rsid w:val="00A832D9"/>
    <w:rsid w:val="00A84EC2"/>
    <w:rsid w:val="00A855B1"/>
    <w:rsid w:val="00A90148"/>
    <w:rsid w:val="00A910FE"/>
    <w:rsid w:val="00A92DE0"/>
    <w:rsid w:val="00A93850"/>
    <w:rsid w:val="00A9407C"/>
    <w:rsid w:val="00A95F5D"/>
    <w:rsid w:val="00A96D68"/>
    <w:rsid w:val="00AA5A4F"/>
    <w:rsid w:val="00AA5DAF"/>
    <w:rsid w:val="00AA7199"/>
    <w:rsid w:val="00AA73FF"/>
    <w:rsid w:val="00AA79E7"/>
    <w:rsid w:val="00AB3FEC"/>
    <w:rsid w:val="00AB6898"/>
    <w:rsid w:val="00AB69D1"/>
    <w:rsid w:val="00AC2158"/>
    <w:rsid w:val="00AC2E4E"/>
    <w:rsid w:val="00AC3531"/>
    <w:rsid w:val="00AC6B04"/>
    <w:rsid w:val="00AD29EA"/>
    <w:rsid w:val="00AD677E"/>
    <w:rsid w:val="00AE151B"/>
    <w:rsid w:val="00AE1D81"/>
    <w:rsid w:val="00AE1D95"/>
    <w:rsid w:val="00AE2058"/>
    <w:rsid w:val="00AE31D8"/>
    <w:rsid w:val="00AE4D6F"/>
    <w:rsid w:val="00AE4DBF"/>
    <w:rsid w:val="00AE7A89"/>
    <w:rsid w:val="00AF4F3F"/>
    <w:rsid w:val="00AF568D"/>
    <w:rsid w:val="00B03416"/>
    <w:rsid w:val="00B0586E"/>
    <w:rsid w:val="00B10E0A"/>
    <w:rsid w:val="00B10E33"/>
    <w:rsid w:val="00B11F18"/>
    <w:rsid w:val="00B12D04"/>
    <w:rsid w:val="00B14671"/>
    <w:rsid w:val="00B156DD"/>
    <w:rsid w:val="00B16F00"/>
    <w:rsid w:val="00B232C5"/>
    <w:rsid w:val="00B23A1B"/>
    <w:rsid w:val="00B23DF3"/>
    <w:rsid w:val="00B23E44"/>
    <w:rsid w:val="00B24968"/>
    <w:rsid w:val="00B40AFA"/>
    <w:rsid w:val="00B41B1C"/>
    <w:rsid w:val="00B428EA"/>
    <w:rsid w:val="00B43973"/>
    <w:rsid w:val="00B44867"/>
    <w:rsid w:val="00B44E97"/>
    <w:rsid w:val="00B464F1"/>
    <w:rsid w:val="00B47E50"/>
    <w:rsid w:val="00B50406"/>
    <w:rsid w:val="00B50A60"/>
    <w:rsid w:val="00B51B63"/>
    <w:rsid w:val="00B527EE"/>
    <w:rsid w:val="00B54244"/>
    <w:rsid w:val="00B57323"/>
    <w:rsid w:val="00B63FA7"/>
    <w:rsid w:val="00B654A9"/>
    <w:rsid w:val="00B66098"/>
    <w:rsid w:val="00B660C6"/>
    <w:rsid w:val="00B77466"/>
    <w:rsid w:val="00B77CF7"/>
    <w:rsid w:val="00B801BD"/>
    <w:rsid w:val="00B84D0C"/>
    <w:rsid w:val="00B861D9"/>
    <w:rsid w:val="00B90521"/>
    <w:rsid w:val="00B90666"/>
    <w:rsid w:val="00B91E8C"/>
    <w:rsid w:val="00B93435"/>
    <w:rsid w:val="00B94243"/>
    <w:rsid w:val="00B94315"/>
    <w:rsid w:val="00B94D73"/>
    <w:rsid w:val="00B95D6D"/>
    <w:rsid w:val="00B96B86"/>
    <w:rsid w:val="00BA0298"/>
    <w:rsid w:val="00BA2AB7"/>
    <w:rsid w:val="00BA2ACD"/>
    <w:rsid w:val="00BA6D5B"/>
    <w:rsid w:val="00BB1B77"/>
    <w:rsid w:val="00BB2447"/>
    <w:rsid w:val="00BB56E0"/>
    <w:rsid w:val="00BC0028"/>
    <w:rsid w:val="00BC21E7"/>
    <w:rsid w:val="00BC3E42"/>
    <w:rsid w:val="00BC575E"/>
    <w:rsid w:val="00BC6294"/>
    <w:rsid w:val="00BC6897"/>
    <w:rsid w:val="00BD434F"/>
    <w:rsid w:val="00BD44E0"/>
    <w:rsid w:val="00BD4F1E"/>
    <w:rsid w:val="00BD538A"/>
    <w:rsid w:val="00BD7BD4"/>
    <w:rsid w:val="00BE0201"/>
    <w:rsid w:val="00BE314D"/>
    <w:rsid w:val="00BE5F1E"/>
    <w:rsid w:val="00BF291D"/>
    <w:rsid w:val="00BF3F1D"/>
    <w:rsid w:val="00BF4CBF"/>
    <w:rsid w:val="00BF4D7D"/>
    <w:rsid w:val="00BF517C"/>
    <w:rsid w:val="00C02C92"/>
    <w:rsid w:val="00C042AD"/>
    <w:rsid w:val="00C044A1"/>
    <w:rsid w:val="00C05C69"/>
    <w:rsid w:val="00C072FF"/>
    <w:rsid w:val="00C0748C"/>
    <w:rsid w:val="00C10D7D"/>
    <w:rsid w:val="00C14502"/>
    <w:rsid w:val="00C14D72"/>
    <w:rsid w:val="00C151B2"/>
    <w:rsid w:val="00C17F15"/>
    <w:rsid w:val="00C21F41"/>
    <w:rsid w:val="00C21FBB"/>
    <w:rsid w:val="00C223F1"/>
    <w:rsid w:val="00C258D3"/>
    <w:rsid w:val="00C27F8D"/>
    <w:rsid w:val="00C300C3"/>
    <w:rsid w:val="00C337F1"/>
    <w:rsid w:val="00C345F9"/>
    <w:rsid w:val="00C36A0D"/>
    <w:rsid w:val="00C373F5"/>
    <w:rsid w:val="00C375FC"/>
    <w:rsid w:val="00C407D4"/>
    <w:rsid w:val="00C45D39"/>
    <w:rsid w:val="00C521B1"/>
    <w:rsid w:val="00C53984"/>
    <w:rsid w:val="00C54FAC"/>
    <w:rsid w:val="00C577AC"/>
    <w:rsid w:val="00C57805"/>
    <w:rsid w:val="00C637E2"/>
    <w:rsid w:val="00C639C6"/>
    <w:rsid w:val="00C640ED"/>
    <w:rsid w:val="00C64A99"/>
    <w:rsid w:val="00C64C70"/>
    <w:rsid w:val="00C666FA"/>
    <w:rsid w:val="00C670DF"/>
    <w:rsid w:val="00C72155"/>
    <w:rsid w:val="00C743CD"/>
    <w:rsid w:val="00C76D79"/>
    <w:rsid w:val="00C80F19"/>
    <w:rsid w:val="00C80F4F"/>
    <w:rsid w:val="00C81F05"/>
    <w:rsid w:val="00C82D50"/>
    <w:rsid w:val="00C8423D"/>
    <w:rsid w:val="00C85898"/>
    <w:rsid w:val="00C92177"/>
    <w:rsid w:val="00CA11F4"/>
    <w:rsid w:val="00CA1EC7"/>
    <w:rsid w:val="00CA1F57"/>
    <w:rsid w:val="00CA2C84"/>
    <w:rsid w:val="00CA3569"/>
    <w:rsid w:val="00CA761C"/>
    <w:rsid w:val="00CA7789"/>
    <w:rsid w:val="00CB0ACD"/>
    <w:rsid w:val="00CB3BAC"/>
    <w:rsid w:val="00CB6028"/>
    <w:rsid w:val="00CB67EE"/>
    <w:rsid w:val="00CB7F22"/>
    <w:rsid w:val="00CC04B2"/>
    <w:rsid w:val="00CC2517"/>
    <w:rsid w:val="00CC3A0B"/>
    <w:rsid w:val="00CC5DBC"/>
    <w:rsid w:val="00CD0BC0"/>
    <w:rsid w:val="00CD31BB"/>
    <w:rsid w:val="00CD4579"/>
    <w:rsid w:val="00CD4AFD"/>
    <w:rsid w:val="00CE06EC"/>
    <w:rsid w:val="00CE0AB3"/>
    <w:rsid w:val="00CE25F5"/>
    <w:rsid w:val="00CE437E"/>
    <w:rsid w:val="00CF2AB8"/>
    <w:rsid w:val="00CF4290"/>
    <w:rsid w:val="00D03FAE"/>
    <w:rsid w:val="00D047A5"/>
    <w:rsid w:val="00D06481"/>
    <w:rsid w:val="00D06700"/>
    <w:rsid w:val="00D06C45"/>
    <w:rsid w:val="00D079C7"/>
    <w:rsid w:val="00D109BD"/>
    <w:rsid w:val="00D10B7D"/>
    <w:rsid w:val="00D14ADD"/>
    <w:rsid w:val="00D20ADA"/>
    <w:rsid w:val="00D20F41"/>
    <w:rsid w:val="00D2794B"/>
    <w:rsid w:val="00D30F01"/>
    <w:rsid w:val="00D32DC7"/>
    <w:rsid w:val="00D360C3"/>
    <w:rsid w:val="00D3657E"/>
    <w:rsid w:val="00D36833"/>
    <w:rsid w:val="00D36874"/>
    <w:rsid w:val="00D36DD1"/>
    <w:rsid w:val="00D37FDD"/>
    <w:rsid w:val="00D4121D"/>
    <w:rsid w:val="00D41322"/>
    <w:rsid w:val="00D4146B"/>
    <w:rsid w:val="00D425E8"/>
    <w:rsid w:val="00D4369D"/>
    <w:rsid w:val="00D46484"/>
    <w:rsid w:val="00D47214"/>
    <w:rsid w:val="00D47760"/>
    <w:rsid w:val="00D478EC"/>
    <w:rsid w:val="00D47D71"/>
    <w:rsid w:val="00D50421"/>
    <w:rsid w:val="00D5099D"/>
    <w:rsid w:val="00D5516E"/>
    <w:rsid w:val="00D55FE1"/>
    <w:rsid w:val="00D611A3"/>
    <w:rsid w:val="00D668A5"/>
    <w:rsid w:val="00D67B3F"/>
    <w:rsid w:val="00D70CFD"/>
    <w:rsid w:val="00D714AF"/>
    <w:rsid w:val="00D72D45"/>
    <w:rsid w:val="00D83413"/>
    <w:rsid w:val="00D85069"/>
    <w:rsid w:val="00D853C4"/>
    <w:rsid w:val="00D873FA"/>
    <w:rsid w:val="00D8742D"/>
    <w:rsid w:val="00D907F9"/>
    <w:rsid w:val="00D91E04"/>
    <w:rsid w:val="00D92DC0"/>
    <w:rsid w:val="00D930D7"/>
    <w:rsid w:val="00D945C7"/>
    <w:rsid w:val="00D97962"/>
    <w:rsid w:val="00DA1594"/>
    <w:rsid w:val="00DA4118"/>
    <w:rsid w:val="00DA5C38"/>
    <w:rsid w:val="00DB162F"/>
    <w:rsid w:val="00DB26D2"/>
    <w:rsid w:val="00DB4FA0"/>
    <w:rsid w:val="00DB727B"/>
    <w:rsid w:val="00DB7D47"/>
    <w:rsid w:val="00DC300B"/>
    <w:rsid w:val="00DC340C"/>
    <w:rsid w:val="00DC3903"/>
    <w:rsid w:val="00DD068F"/>
    <w:rsid w:val="00DD112D"/>
    <w:rsid w:val="00DD16DD"/>
    <w:rsid w:val="00DD1884"/>
    <w:rsid w:val="00DD2E36"/>
    <w:rsid w:val="00DD486D"/>
    <w:rsid w:val="00DD6C32"/>
    <w:rsid w:val="00DD7350"/>
    <w:rsid w:val="00DE1939"/>
    <w:rsid w:val="00DE2ED2"/>
    <w:rsid w:val="00DE544A"/>
    <w:rsid w:val="00DE7020"/>
    <w:rsid w:val="00DF056A"/>
    <w:rsid w:val="00DF1218"/>
    <w:rsid w:val="00DF2495"/>
    <w:rsid w:val="00E0029E"/>
    <w:rsid w:val="00E016C9"/>
    <w:rsid w:val="00E15024"/>
    <w:rsid w:val="00E15638"/>
    <w:rsid w:val="00E161B5"/>
    <w:rsid w:val="00E1622C"/>
    <w:rsid w:val="00E20715"/>
    <w:rsid w:val="00E21538"/>
    <w:rsid w:val="00E216CE"/>
    <w:rsid w:val="00E22B1A"/>
    <w:rsid w:val="00E23AFF"/>
    <w:rsid w:val="00E23BE5"/>
    <w:rsid w:val="00E23C40"/>
    <w:rsid w:val="00E23F9A"/>
    <w:rsid w:val="00E26A87"/>
    <w:rsid w:val="00E309EC"/>
    <w:rsid w:val="00E31594"/>
    <w:rsid w:val="00E31B73"/>
    <w:rsid w:val="00E35FB6"/>
    <w:rsid w:val="00E3777A"/>
    <w:rsid w:val="00E403DD"/>
    <w:rsid w:val="00E42921"/>
    <w:rsid w:val="00E44406"/>
    <w:rsid w:val="00E5065A"/>
    <w:rsid w:val="00E543B2"/>
    <w:rsid w:val="00E56FE4"/>
    <w:rsid w:val="00E62BD0"/>
    <w:rsid w:val="00E64329"/>
    <w:rsid w:val="00E64DC0"/>
    <w:rsid w:val="00E65586"/>
    <w:rsid w:val="00E723DD"/>
    <w:rsid w:val="00E7244B"/>
    <w:rsid w:val="00E740B4"/>
    <w:rsid w:val="00E746C8"/>
    <w:rsid w:val="00E74FAD"/>
    <w:rsid w:val="00E84E30"/>
    <w:rsid w:val="00E86FFB"/>
    <w:rsid w:val="00E909B5"/>
    <w:rsid w:val="00E96EA2"/>
    <w:rsid w:val="00EA0A4A"/>
    <w:rsid w:val="00EA33A7"/>
    <w:rsid w:val="00EA399E"/>
    <w:rsid w:val="00EA3E3D"/>
    <w:rsid w:val="00EA5481"/>
    <w:rsid w:val="00EA6CFF"/>
    <w:rsid w:val="00EB08D0"/>
    <w:rsid w:val="00EB388C"/>
    <w:rsid w:val="00EB4468"/>
    <w:rsid w:val="00EB46C7"/>
    <w:rsid w:val="00EB5EBA"/>
    <w:rsid w:val="00EB5FDF"/>
    <w:rsid w:val="00EB7CD2"/>
    <w:rsid w:val="00EC4619"/>
    <w:rsid w:val="00EC487B"/>
    <w:rsid w:val="00EC4C03"/>
    <w:rsid w:val="00EC5DF9"/>
    <w:rsid w:val="00ED00A5"/>
    <w:rsid w:val="00ED0BCA"/>
    <w:rsid w:val="00ED4596"/>
    <w:rsid w:val="00ED4DC0"/>
    <w:rsid w:val="00ED6440"/>
    <w:rsid w:val="00ED761F"/>
    <w:rsid w:val="00EE16EA"/>
    <w:rsid w:val="00EE1B3C"/>
    <w:rsid w:val="00EE388B"/>
    <w:rsid w:val="00EE50C7"/>
    <w:rsid w:val="00EE64B7"/>
    <w:rsid w:val="00EE68CC"/>
    <w:rsid w:val="00EE6A84"/>
    <w:rsid w:val="00EF191E"/>
    <w:rsid w:val="00EF2D27"/>
    <w:rsid w:val="00EF331C"/>
    <w:rsid w:val="00EF49AE"/>
    <w:rsid w:val="00EF4E88"/>
    <w:rsid w:val="00EF5BA7"/>
    <w:rsid w:val="00EF6EF8"/>
    <w:rsid w:val="00EF7241"/>
    <w:rsid w:val="00F01203"/>
    <w:rsid w:val="00F01803"/>
    <w:rsid w:val="00F01D7E"/>
    <w:rsid w:val="00F02D33"/>
    <w:rsid w:val="00F0548C"/>
    <w:rsid w:val="00F05DFE"/>
    <w:rsid w:val="00F07D5E"/>
    <w:rsid w:val="00F15CB7"/>
    <w:rsid w:val="00F176A4"/>
    <w:rsid w:val="00F17942"/>
    <w:rsid w:val="00F20307"/>
    <w:rsid w:val="00F205A9"/>
    <w:rsid w:val="00F2149E"/>
    <w:rsid w:val="00F229F5"/>
    <w:rsid w:val="00F26EE6"/>
    <w:rsid w:val="00F270EB"/>
    <w:rsid w:val="00F2758F"/>
    <w:rsid w:val="00F27923"/>
    <w:rsid w:val="00F301F9"/>
    <w:rsid w:val="00F309D2"/>
    <w:rsid w:val="00F30B4D"/>
    <w:rsid w:val="00F311EF"/>
    <w:rsid w:val="00F31328"/>
    <w:rsid w:val="00F313C9"/>
    <w:rsid w:val="00F31586"/>
    <w:rsid w:val="00F333B2"/>
    <w:rsid w:val="00F35482"/>
    <w:rsid w:val="00F36C0D"/>
    <w:rsid w:val="00F36D52"/>
    <w:rsid w:val="00F375EB"/>
    <w:rsid w:val="00F41504"/>
    <w:rsid w:val="00F4182C"/>
    <w:rsid w:val="00F42DF9"/>
    <w:rsid w:val="00F479D6"/>
    <w:rsid w:val="00F508A1"/>
    <w:rsid w:val="00F55CB5"/>
    <w:rsid w:val="00F57818"/>
    <w:rsid w:val="00F6101D"/>
    <w:rsid w:val="00F61069"/>
    <w:rsid w:val="00F61D54"/>
    <w:rsid w:val="00F644E2"/>
    <w:rsid w:val="00F6560F"/>
    <w:rsid w:val="00F657C9"/>
    <w:rsid w:val="00F662E8"/>
    <w:rsid w:val="00F66420"/>
    <w:rsid w:val="00F74232"/>
    <w:rsid w:val="00F747DA"/>
    <w:rsid w:val="00F778DF"/>
    <w:rsid w:val="00F80769"/>
    <w:rsid w:val="00F830FD"/>
    <w:rsid w:val="00F835F2"/>
    <w:rsid w:val="00F857C3"/>
    <w:rsid w:val="00F90632"/>
    <w:rsid w:val="00F918EC"/>
    <w:rsid w:val="00F91968"/>
    <w:rsid w:val="00F91994"/>
    <w:rsid w:val="00F91B35"/>
    <w:rsid w:val="00F92AB1"/>
    <w:rsid w:val="00F9406C"/>
    <w:rsid w:val="00F95472"/>
    <w:rsid w:val="00F95954"/>
    <w:rsid w:val="00F975B5"/>
    <w:rsid w:val="00F97CB6"/>
    <w:rsid w:val="00FA08FE"/>
    <w:rsid w:val="00FA0D94"/>
    <w:rsid w:val="00FA211D"/>
    <w:rsid w:val="00FA2287"/>
    <w:rsid w:val="00FA352A"/>
    <w:rsid w:val="00FA3971"/>
    <w:rsid w:val="00FA4F57"/>
    <w:rsid w:val="00FB02A7"/>
    <w:rsid w:val="00FB112B"/>
    <w:rsid w:val="00FB1BF3"/>
    <w:rsid w:val="00FB3913"/>
    <w:rsid w:val="00FB46B0"/>
    <w:rsid w:val="00FC193D"/>
    <w:rsid w:val="00FC29CE"/>
    <w:rsid w:val="00FC31BC"/>
    <w:rsid w:val="00FC78B5"/>
    <w:rsid w:val="00FD389B"/>
    <w:rsid w:val="00FD3B0B"/>
    <w:rsid w:val="00FD6B3B"/>
    <w:rsid w:val="00FE0019"/>
    <w:rsid w:val="00FE1E21"/>
    <w:rsid w:val="00FE252A"/>
    <w:rsid w:val="00FE3EE0"/>
    <w:rsid w:val="00FE53DE"/>
    <w:rsid w:val="00FE5ABF"/>
    <w:rsid w:val="00FE6F71"/>
    <w:rsid w:val="00FF2CA1"/>
    <w:rsid w:val="00FF7014"/>
    <w:rsid w:val="00FF7098"/>
    <w:rsid w:val="025220B4"/>
    <w:rsid w:val="03237D85"/>
    <w:rsid w:val="041C6F4E"/>
    <w:rsid w:val="1135735B"/>
    <w:rsid w:val="16DE5E60"/>
    <w:rsid w:val="19E738EC"/>
    <w:rsid w:val="1D467A92"/>
    <w:rsid w:val="22916443"/>
    <w:rsid w:val="24C0322E"/>
    <w:rsid w:val="27484CC0"/>
    <w:rsid w:val="2CAB4160"/>
    <w:rsid w:val="2DD377BE"/>
    <w:rsid w:val="2EE67818"/>
    <w:rsid w:val="32C20171"/>
    <w:rsid w:val="397A08A5"/>
    <w:rsid w:val="427D0979"/>
    <w:rsid w:val="4418330D"/>
    <w:rsid w:val="441D1002"/>
    <w:rsid w:val="45ED50AE"/>
    <w:rsid w:val="48496B9E"/>
    <w:rsid w:val="4E0E31ED"/>
    <w:rsid w:val="4E372CEF"/>
    <w:rsid w:val="4ED67027"/>
    <w:rsid w:val="51F20DEC"/>
    <w:rsid w:val="52D47D21"/>
    <w:rsid w:val="54781E2D"/>
    <w:rsid w:val="5D30024A"/>
    <w:rsid w:val="6059236A"/>
    <w:rsid w:val="639952B6"/>
    <w:rsid w:val="64CC738A"/>
    <w:rsid w:val="64FB537F"/>
    <w:rsid w:val="676A6587"/>
    <w:rsid w:val="69BA43DF"/>
    <w:rsid w:val="69F33084"/>
    <w:rsid w:val="6B8E2D0B"/>
    <w:rsid w:val="6C105A58"/>
    <w:rsid w:val="6F3D238D"/>
    <w:rsid w:val="73727D47"/>
    <w:rsid w:val="785E75C1"/>
    <w:rsid w:val="78916E58"/>
    <w:rsid w:val="7DBD1B02"/>
    <w:rsid w:val="7EF542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63"/>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64"/>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6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66"/>
    <w:semiHidden/>
    <w:unhideWhenUsed/>
    <w:qFormat/>
    <w:uiPriority w:val="9"/>
    <w:pPr>
      <w:keepNext/>
      <w:keepLines/>
      <w:spacing w:before="280" w:after="290" w:line="376" w:lineRule="auto"/>
      <w:outlineLvl w:val="4"/>
    </w:pPr>
    <w:rPr>
      <w:b/>
      <w:bCs/>
      <w:sz w:val="28"/>
      <w:szCs w:val="28"/>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autoRedefine/>
    <w:unhideWhenUsed/>
    <w:qFormat/>
    <w:uiPriority w:val="39"/>
    <w:pPr>
      <w:ind w:left="1260"/>
      <w:jc w:val="left"/>
    </w:pPr>
    <w:rPr>
      <w:sz w:val="18"/>
      <w:szCs w:val="18"/>
    </w:rPr>
  </w:style>
  <w:style w:type="paragraph" w:styleId="8">
    <w:name w:val="Note Heading"/>
    <w:basedOn w:val="1"/>
    <w:next w:val="1"/>
    <w:link w:val="67"/>
    <w:qFormat/>
    <w:uiPriority w:val="0"/>
    <w:pPr>
      <w:jc w:val="center"/>
    </w:pPr>
    <w:rPr>
      <w:rFonts w:ascii="金梅簡體中黑字形" w:hAnsi="Arial" w:eastAsia="金梅簡體中黑字形" w:cs="Times New Roman"/>
      <w:kern w:val="0"/>
      <w:sz w:val="24"/>
      <w:szCs w:val="24"/>
    </w:rPr>
  </w:style>
  <w:style w:type="paragraph" w:styleId="9">
    <w:name w:val="Normal Indent"/>
    <w:basedOn w:val="1"/>
    <w:semiHidden/>
    <w:unhideWhenUsed/>
    <w:qFormat/>
    <w:uiPriority w:val="99"/>
    <w:pPr>
      <w:ind w:left="720"/>
    </w:pPr>
  </w:style>
  <w:style w:type="paragraph" w:styleId="10">
    <w:name w:val="Document Map"/>
    <w:basedOn w:val="1"/>
    <w:link w:val="68"/>
    <w:qFormat/>
    <w:uiPriority w:val="99"/>
    <w:rPr>
      <w:rFonts w:ascii="宋体"/>
      <w:sz w:val="18"/>
      <w:szCs w:val="18"/>
    </w:rPr>
  </w:style>
  <w:style w:type="paragraph" w:styleId="11">
    <w:name w:val="annotation text"/>
    <w:basedOn w:val="1"/>
    <w:link w:val="45"/>
    <w:unhideWhenUsed/>
    <w:qFormat/>
    <w:uiPriority w:val="99"/>
    <w:pPr>
      <w:jc w:val="left"/>
    </w:pPr>
  </w:style>
  <w:style w:type="paragraph" w:styleId="12">
    <w:name w:val="Body Text 3"/>
    <w:basedOn w:val="1"/>
    <w:link w:val="69"/>
    <w:qFormat/>
    <w:uiPriority w:val="0"/>
    <w:rPr>
      <w:rFonts w:ascii="仿宋_GB2312" w:eastAsia="仿宋_GB2312"/>
      <w:sz w:val="24"/>
    </w:rPr>
  </w:style>
  <w:style w:type="paragraph" w:styleId="13">
    <w:name w:val="Body Text"/>
    <w:basedOn w:val="1"/>
    <w:link w:val="48"/>
    <w:qFormat/>
    <w:uiPriority w:val="0"/>
    <w:pPr>
      <w:spacing w:line="360" w:lineRule="auto"/>
    </w:pPr>
    <w:rPr>
      <w:rFonts w:ascii="楷体_GB2312" w:hAnsi="Times New Roman" w:eastAsia="楷体_GB2312" w:cs="Times New Roman"/>
      <w:bCs/>
      <w:sz w:val="28"/>
      <w:szCs w:val="24"/>
    </w:rPr>
  </w:style>
  <w:style w:type="paragraph" w:styleId="14">
    <w:name w:val="Body Text Indent"/>
    <w:basedOn w:val="1"/>
    <w:link w:val="52"/>
    <w:unhideWhenUsed/>
    <w:qFormat/>
    <w:uiPriority w:val="0"/>
    <w:pPr>
      <w:spacing w:after="120"/>
      <w:ind w:left="420" w:leftChars="200"/>
    </w:pPr>
  </w:style>
  <w:style w:type="paragraph" w:styleId="15">
    <w:name w:val="toc 5"/>
    <w:basedOn w:val="1"/>
    <w:next w:val="1"/>
    <w:autoRedefine/>
    <w:unhideWhenUsed/>
    <w:qFormat/>
    <w:uiPriority w:val="39"/>
    <w:pPr>
      <w:ind w:left="840"/>
      <w:jc w:val="left"/>
    </w:pPr>
    <w:rPr>
      <w:sz w:val="18"/>
      <w:szCs w:val="18"/>
    </w:rPr>
  </w:style>
  <w:style w:type="paragraph" w:styleId="16">
    <w:name w:val="toc 3"/>
    <w:basedOn w:val="1"/>
    <w:next w:val="1"/>
    <w:autoRedefine/>
    <w:unhideWhenUsed/>
    <w:qFormat/>
    <w:uiPriority w:val="39"/>
    <w:pPr>
      <w:ind w:left="420"/>
      <w:jc w:val="left"/>
    </w:pPr>
    <w:rPr>
      <w:i/>
      <w:iCs/>
      <w:sz w:val="20"/>
      <w:szCs w:val="20"/>
    </w:rPr>
  </w:style>
  <w:style w:type="paragraph" w:styleId="17">
    <w:name w:val="Plain Text"/>
    <w:basedOn w:val="1"/>
    <w:link w:val="70"/>
    <w:qFormat/>
    <w:uiPriority w:val="0"/>
    <w:rPr>
      <w:rFonts w:hAnsi="Courier New" w:cs="Courier New" w:asciiTheme="minorEastAsia"/>
    </w:rPr>
  </w:style>
  <w:style w:type="paragraph" w:styleId="18">
    <w:name w:val="toc 8"/>
    <w:basedOn w:val="1"/>
    <w:next w:val="1"/>
    <w:autoRedefine/>
    <w:unhideWhenUsed/>
    <w:qFormat/>
    <w:uiPriority w:val="39"/>
    <w:pPr>
      <w:ind w:left="1470"/>
      <w:jc w:val="left"/>
    </w:pPr>
    <w:rPr>
      <w:sz w:val="18"/>
      <w:szCs w:val="18"/>
    </w:rPr>
  </w:style>
  <w:style w:type="paragraph" w:styleId="19">
    <w:name w:val="Balloon Text"/>
    <w:basedOn w:val="1"/>
    <w:link w:val="43"/>
    <w:semiHidden/>
    <w:unhideWhenUsed/>
    <w:qFormat/>
    <w:uiPriority w:val="99"/>
    <w:rPr>
      <w:sz w:val="18"/>
      <w:szCs w:val="18"/>
    </w:rPr>
  </w:style>
  <w:style w:type="paragraph" w:styleId="20">
    <w:name w:val="footer"/>
    <w:basedOn w:val="1"/>
    <w:link w:val="41"/>
    <w:unhideWhenUsed/>
    <w:qFormat/>
    <w:uiPriority w:val="99"/>
    <w:pPr>
      <w:tabs>
        <w:tab w:val="center" w:pos="4153"/>
        <w:tab w:val="right" w:pos="8306"/>
      </w:tabs>
      <w:snapToGrid w:val="0"/>
      <w:jc w:val="left"/>
    </w:pPr>
    <w:rPr>
      <w:sz w:val="18"/>
      <w:szCs w:val="18"/>
    </w:rPr>
  </w:style>
  <w:style w:type="paragraph" w:styleId="21">
    <w:name w:val="header"/>
    <w:basedOn w:val="1"/>
    <w:link w:val="40"/>
    <w:unhideWhenUsed/>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autoRedefine/>
    <w:unhideWhenUsed/>
    <w:qFormat/>
    <w:uiPriority w:val="39"/>
    <w:pPr>
      <w:spacing w:before="120" w:after="120"/>
      <w:jc w:val="left"/>
    </w:pPr>
    <w:rPr>
      <w:b/>
      <w:bCs/>
      <w:caps/>
      <w:sz w:val="20"/>
      <w:szCs w:val="20"/>
    </w:rPr>
  </w:style>
  <w:style w:type="paragraph" w:styleId="23">
    <w:name w:val="toc 4"/>
    <w:basedOn w:val="1"/>
    <w:next w:val="1"/>
    <w:autoRedefine/>
    <w:unhideWhenUsed/>
    <w:qFormat/>
    <w:uiPriority w:val="39"/>
    <w:pPr>
      <w:ind w:left="630"/>
      <w:jc w:val="left"/>
    </w:pPr>
    <w:rPr>
      <w:sz w:val="18"/>
      <w:szCs w:val="18"/>
    </w:rPr>
  </w:style>
  <w:style w:type="paragraph" w:styleId="24">
    <w:name w:val="toc 6"/>
    <w:basedOn w:val="1"/>
    <w:next w:val="1"/>
    <w:autoRedefine/>
    <w:unhideWhenUsed/>
    <w:qFormat/>
    <w:uiPriority w:val="39"/>
    <w:pPr>
      <w:ind w:left="1050"/>
      <w:jc w:val="left"/>
    </w:pPr>
    <w:rPr>
      <w:sz w:val="18"/>
      <w:szCs w:val="18"/>
    </w:rPr>
  </w:style>
  <w:style w:type="paragraph" w:styleId="25">
    <w:name w:val="toc 2"/>
    <w:basedOn w:val="1"/>
    <w:next w:val="1"/>
    <w:autoRedefine/>
    <w:unhideWhenUsed/>
    <w:qFormat/>
    <w:uiPriority w:val="39"/>
    <w:pPr>
      <w:ind w:left="210"/>
      <w:jc w:val="left"/>
    </w:pPr>
    <w:rPr>
      <w:smallCaps/>
      <w:sz w:val="20"/>
      <w:szCs w:val="20"/>
    </w:rPr>
  </w:style>
  <w:style w:type="paragraph" w:styleId="26">
    <w:name w:val="toc 9"/>
    <w:basedOn w:val="1"/>
    <w:next w:val="1"/>
    <w:autoRedefine/>
    <w:unhideWhenUsed/>
    <w:qFormat/>
    <w:uiPriority w:val="39"/>
    <w:pPr>
      <w:ind w:left="1680"/>
      <w:jc w:val="left"/>
    </w:pPr>
    <w:rPr>
      <w:sz w:val="18"/>
      <w:szCs w:val="18"/>
    </w:rPr>
  </w:style>
  <w:style w:type="paragraph" w:styleId="27">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8">
    <w:name w:val="Title"/>
    <w:basedOn w:val="1"/>
    <w:next w:val="1"/>
    <w:link w:val="39"/>
    <w:qFormat/>
    <w:uiPriority w:val="10"/>
    <w:pPr>
      <w:spacing w:line="400" w:lineRule="exact"/>
      <w:jc w:val="center"/>
      <w:outlineLvl w:val="0"/>
    </w:pPr>
    <w:rPr>
      <w:rFonts w:eastAsia="黑体" w:asciiTheme="majorHAnsi" w:hAnsiTheme="majorHAnsi" w:cstheme="majorBidi"/>
      <w:bCs/>
      <w:sz w:val="30"/>
      <w:szCs w:val="32"/>
    </w:rPr>
  </w:style>
  <w:style w:type="paragraph" w:styleId="29">
    <w:name w:val="annotation subject"/>
    <w:basedOn w:val="11"/>
    <w:next w:val="11"/>
    <w:link w:val="46"/>
    <w:semiHidden/>
    <w:unhideWhenUsed/>
    <w:qFormat/>
    <w:uiPriority w:val="99"/>
    <w:rPr>
      <w:b/>
      <w:bCs/>
    </w:rPr>
  </w:style>
  <w:style w:type="paragraph" w:styleId="30">
    <w:name w:val="Body Text First Indent"/>
    <w:basedOn w:val="13"/>
    <w:link w:val="71"/>
    <w:qFormat/>
    <w:uiPriority w:val="0"/>
    <w:pPr>
      <w:spacing w:after="120" w:line="240" w:lineRule="auto"/>
      <w:ind w:firstLine="420" w:firstLineChars="100"/>
    </w:pPr>
    <w:rPr>
      <w:rFonts w:ascii="宋体" w:hAnsi="宋体" w:eastAsia="宋体" w:cstheme="minorBidi"/>
      <w:sz w:val="24"/>
      <w:szCs w:val="22"/>
    </w:rPr>
  </w:style>
  <w:style w:type="paragraph" w:styleId="31">
    <w:name w:val="Body Text First Indent 2"/>
    <w:basedOn w:val="14"/>
    <w:link w:val="62"/>
    <w:unhideWhenUsed/>
    <w:qFormat/>
    <w:uiPriority w:val="0"/>
    <w:pPr>
      <w:ind w:firstLine="420" w:firstLineChars="200"/>
    </w:pPr>
  </w:style>
  <w:style w:type="table" w:styleId="33">
    <w:name w:val="Table Grid"/>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basedOn w:val="34"/>
    <w:qFormat/>
    <w:uiPriority w:val="22"/>
    <w:rPr>
      <w:b/>
      <w:bCs/>
    </w:rPr>
  </w:style>
  <w:style w:type="character" w:styleId="36">
    <w:name w:val="page number"/>
    <w:qFormat/>
    <w:uiPriority w:val="0"/>
  </w:style>
  <w:style w:type="character" w:styleId="37">
    <w:name w:val="Hyperlink"/>
    <w:basedOn w:val="34"/>
    <w:unhideWhenUsed/>
    <w:qFormat/>
    <w:uiPriority w:val="99"/>
    <w:rPr>
      <w:color w:val="0000FF" w:themeColor="hyperlink"/>
      <w:u w:val="single"/>
      <w14:textFill>
        <w14:solidFill>
          <w14:schemeClr w14:val="hlink"/>
        </w14:solidFill>
      </w14:textFill>
    </w:rPr>
  </w:style>
  <w:style w:type="character" w:styleId="38">
    <w:name w:val="annotation reference"/>
    <w:basedOn w:val="34"/>
    <w:semiHidden/>
    <w:unhideWhenUsed/>
    <w:qFormat/>
    <w:uiPriority w:val="99"/>
    <w:rPr>
      <w:sz w:val="21"/>
      <w:szCs w:val="21"/>
    </w:rPr>
  </w:style>
  <w:style w:type="character" w:customStyle="1" w:styleId="39">
    <w:name w:val="标题 Char"/>
    <w:basedOn w:val="34"/>
    <w:link w:val="28"/>
    <w:qFormat/>
    <w:uiPriority w:val="10"/>
    <w:rPr>
      <w:rFonts w:eastAsia="黑体" w:asciiTheme="majorHAnsi" w:hAnsiTheme="majorHAnsi" w:cstheme="majorBidi"/>
      <w:bCs/>
      <w:sz w:val="30"/>
      <w:szCs w:val="32"/>
    </w:rPr>
  </w:style>
  <w:style w:type="character" w:customStyle="1" w:styleId="40">
    <w:name w:val="页眉 Char"/>
    <w:basedOn w:val="34"/>
    <w:link w:val="21"/>
    <w:qFormat/>
    <w:uiPriority w:val="0"/>
    <w:rPr>
      <w:sz w:val="18"/>
      <w:szCs w:val="18"/>
    </w:rPr>
  </w:style>
  <w:style w:type="character" w:customStyle="1" w:styleId="41">
    <w:name w:val="页脚 Char"/>
    <w:basedOn w:val="34"/>
    <w:link w:val="20"/>
    <w:qFormat/>
    <w:uiPriority w:val="99"/>
    <w:rPr>
      <w:sz w:val="18"/>
      <w:szCs w:val="18"/>
    </w:rPr>
  </w:style>
  <w:style w:type="character" w:customStyle="1" w:styleId="42">
    <w:name w:val="font2800"/>
    <w:basedOn w:val="34"/>
    <w:qFormat/>
    <w:uiPriority w:val="0"/>
  </w:style>
  <w:style w:type="character" w:customStyle="1" w:styleId="43">
    <w:name w:val="批注框文本 Char"/>
    <w:basedOn w:val="34"/>
    <w:link w:val="19"/>
    <w:semiHidden/>
    <w:qFormat/>
    <w:uiPriority w:val="99"/>
    <w:rPr>
      <w:sz w:val="18"/>
      <w:szCs w:val="18"/>
    </w:rPr>
  </w:style>
  <w:style w:type="table" w:customStyle="1" w:styleId="44">
    <w:name w:val="网格型1"/>
    <w:basedOn w:val="32"/>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5">
    <w:name w:val="批注文字 Char"/>
    <w:basedOn w:val="34"/>
    <w:link w:val="11"/>
    <w:qFormat/>
    <w:uiPriority w:val="99"/>
  </w:style>
  <w:style w:type="character" w:customStyle="1" w:styleId="46">
    <w:name w:val="批注主题 Char"/>
    <w:basedOn w:val="45"/>
    <w:link w:val="29"/>
    <w:semiHidden/>
    <w:qFormat/>
    <w:uiPriority w:val="99"/>
    <w:rPr>
      <w:b/>
      <w:bCs/>
    </w:rPr>
  </w:style>
  <w:style w:type="character" w:customStyle="1" w:styleId="47">
    <w:name w:val="正文文本 Char"/>
    <w:basedOn w:val="34"/>
    <w:qFormat/>
    <w:uiPriority w:val="0"/>
  </w:style>
  <w:style w:type="character" w:customStyle="1" w:styleId="48">
    <w:name w:val="正文文本 Char1"/>
    <w:link w:val="13"/>
    <w:qFormat/>
    <w:uiPriority w:val="0"/>
    <w:rPr>
      <w:rFonts w:ascii="楷体_GB2312" w:hAnsi="Times New Roman" w:eastAsia="楷体_GB2312" w:cs="Times New Roman"/>
      <w:bCs/>
      <w:sz w:val="28"/>
      <w:szCs w:val="24"/>
    </w:rPr>
  </w:style>
  <w:style w:type="paragraph" w:customStyle="1" w:styleId="49">
    <w:name w:val="Table Paragraph"/>
    <w:basedOn w:val="1"/>
    <w:qFormat/>
    <w:uiPriority w:val="1"/>
    <w:pPr>
      <w:spacing w:line="360" w:lineRule="auto"/>
      <w:ind w:firstLine="260" w:firstLineChars="200"/>
      <w:jc w:val="left"/>
    </w:pPr>
    <w:rPr>
      <w:rFonts w:ascii="Calibri" w:hAnsi="Calibri" w:eastAsia="仿宋" w:cs="Times New Roman"/>
      <w:kern w:val="0"/>
      <w:sz w:val="28"/>
      <w:lang w:eastAsia="en-US"/>
    </w:rPr>
  </w:style>
  <w:style w:type="paragraph" w:styleId="50">
    <w:name w:val="No Spacing"/>
    <w:link w:val="51"/>
    <w:qFormat/>
    <w:uiPriority w:val="1"/>
    <w:pPr>
      <w:widowControl w:val="0"/>
      <w:spacing w:line="360" w:lineRule="auto"/>
      <w:jc w:val="both"/>
    </w:pPr>
    <w:rPr>
      <w:rFonts w:ascii="宋体" w:hAnsi="宋体" w:eastAsiaTheme="minorEastAsia" w:cstheme="minorBidi"/>
      <w:kern w:val="2"/>
      <w:sz w:val="24"/>
      <w:szCs w:val="22"/>
      <w:lang w:val="en-US" w:eastAsia="zh-CN" w:bidi="ar-SA"/>
    </w:rPr>
  </w:style>
  <w:style w:type="character" w:customStyle="1" w:styleId="51">
    <w:name w:val="无间隔 Char"/>
    <w:link w:val="50"/>
    <w:qFormat/>
    <w:uiPriority w:val="1"/>
    <w:rPr>
      <w:rFonts w:ascii="宋体" w:hAnsi="宋体"/>
      <w:sz w:val="24"/>
    </w:rPr>
  </w:style>
  <w:style w:type="character" w:customStyle="1" w:styleId="52">
    <w:name w:val="正文文本缩进 Char"/>
    <w:basedOn w:val="34"/>
    <w:link w:val="14"/>
    <w:qFormat/>
    <w:uiPriority w:val="0"/>
  </w:style>
  <w:style w:type="table" w:customStyle="1" w:styleId="53">
    <w:name w:val="网格型2"/>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4">
    <w:name w:val="Revision"/>
    <w:hidden/>
    <w:unhideWhenUsed/>
    <w:qFormat/>
    <w:uiPriority w:val="99"/>
    <w:rPr>
      <w:rFonts w:asciiTheme="minorHAnsi" w:hAnsiTheme="minorHAnsi" w:eastAsiaTheme="minorEastAsia" w:cstheme="minorBidi"/>
      <w:kern w:val="2"/>
      <w:sz w:val="21"/>
      <w:szCs w:val="22"/>
      <w:lang w:val="en-US" w:eastAsia="zh-CN" w:bidi="ar-SA"/>
    </w:rPr>
  </w:style>
  <w:style w:type="table" w:customStyle="1" w:styleId="55">
    <w:name w:val="网格型3"/>
    <w:basedOn w:val="32"/>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6">
    <w:name w:val="网格型4"/>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7">
    <w:name w:val="Table Normal"/>
    <w:semiHidden/>
    <w:unhideWhenUsed/>
    <w:qFormat/>
    <w:uiPriority w:val="0"/>
    <w:rPr>
      <w:kern w:val="0"/>
      <w:sz w:val="20"/>
      <w:szCs w:val="20"/>
    </w:rPr>
    <w:tblPr>
      <w:tblCellMar>
        <w:top w:w="0" w:type="dxa"/>
        <w:left w:w="0" w:type="dxa"/>
        <w:bottom w:w="0" w:type="dxa"/>
        <w:right w:w="0" w:type="dxa"/>
      </w:tblCellMar>
    </w:tblPr>
  </w:style>
  <w:style w:type="character" w:customStyle="1" w:styleId="58">
    <w:name w:val="标题 1 Char"/>
    <w:basedOn w:val="34"/>
    <w:link w:val="2"/>
    <w:qFormat/>
    <w:uiPriority w:val="9"/>
    <w:rPr>
      <w:b/>
      <w:bCs/>
      <w:kern w:val="44"/>
      <w:sz w:val="44"/>
      <w:szCs w:val="44"/>
    </w:rPr>
  </w:style>
  <w:style w:type="paragraph" w:customStyle="1" w:styleId="59">
    <w:name w:val="TOC Heading"/>
    <w:basedOn w:val="2"/>
    <w:next w:val="1"/>
    <w:semiHidden/>
    <w:unhideWhenUsed/>
    <w:qFormat/>
    <w:uiPriority w:val="39"/>
    <w:pPr>
      <w:outlineLvl w:val="9"/>
    </w:pPr>
  </w:style>
  <w:style w:type="character" w:customStyle="1" w:styleId="60">
    <w:name w:val="font21"/>
    <w:basedOn w:val="34"/>
    <w:qFormat/>
    <w:uiPriority w:val="0"/>
    <w:rPr>
      <w:rFonts w:ascii="Calibri" w:hAnsi="Calibri" w:cs="Calibri"/>
      <w:color w:val="000000"/>
      <w:sz w:val="21"/>
      <w:szCs w:val="21"/>
      <w:u w:val="none"/>
    </w:rPr>
  </w:style>
  <w:style w:type="character" w:customStyle="1" w:styleId="61">
    <w:name w:val="font11"/>
    <w:basedOn w:val="34"/>
    <w:qFormat/>
    <w:uiPriority w:val="0"/>
    <w:rPr>
      <w:rFonts w:hint="eastAsia" w:ascii="宋体" w:hAnsi="宋体" w:eastAsia="宋体" w:cs="宋体"/>
      <w:color w:val="000000"/>
      <w:sz w:val="21"/>
      <w:szCs w:val="21"/>
      <w:u w:val="none"/>
    </w:rPr>
  </w:style>
  <w:style w:type="character" w:customStyle="1" w:styleId="62">
    <w:name w:val="正文首行缩进 2 Char"/>
    <w:basedOn w:val="52"/>
    <w:link w:val="31"/>
    <w:qFormat/>
    <w:uiPriority w:val="0"/>
  </w:style>
  <w:style w:type="character" w:customStyle="1" w:styleId="63">
    <w:name w:val="标题 2 Char"/>
    <w:basedOn w:val="34"/>
    <w:link w:val="3"/>
    <w:semiHidden/>
    <w:qFormat/>
    <w:uiPriority w:val="9"/>
    <w:rPr>
      <w:rFonts w:asciiTheme="majorHAnsi" w:hAnsiTheme="majorHAnsi" w:eastAsiaTheme="majorEastAsia" w:cstheme="majorBidi"/>
      <w:b/>
      <w:bCs/>
      <w:sz w:val="32"/>
      <w:szCs w:val="32"/>
    </w:rPr>
  </w:style>
  <w:style w:type="character" w:customStyle="1" w:styleId="64">
    <w:name w:val="标题 3 Char"/>
    <w:basedOn w:val="34"/>
    <w:link w:val="4"/>
    <w:semiHidden/>
    <w:qFormat/>
    <w:uiPriority w:val="9"/>
    <w:rPr>
      <w:b/>
      <w:bCs/>
      <w:sz w:val="32"/>
      <w:szCs w:val="32"/>
    </w:rPr>
  </w:style>
  <w:style w:type="character" w:customStyle="1" w:styleId="65">
    <w:name w:val="标题 4 Char"/>
    <w:basedOn w:val="34"/>
    <w:link w:val="5"/>
    <w:semiHidden/>
    <w:qFormat/>
    <w:uiPriority w:val="9"/>
    <w:rPr>
      <w:rFonts w:asciiTheme="majorHAnsi" w:hAnsiTheme="majorHAnsi" w:eastAsiaTheme="majorEastAsia" w:cstheme="majorBidi"/>
      <w:b/>
      <w:bCs/>
      <w:sz w:val="28"/>
      <w:szCs w:val="28"/>
    </w:rPr>
  </w:style>
  <w:style w:type="character" w:customStyle="1" w:styleId="66">
    <w:name w:val="标题 5 Char"/>
    <w:basedOn w:val="34"/>
    <w:link w:val="6"/>
    <w:semiHidden/>
    <w:qFormat/>
    <w:uiPriority w:val="9"/>
    <w:rPr>
      <w:b/>
      <w:bCs/>
      <w:sz w:val="28"/>
      <w:szCs w:val="28"/>
    </w:rPr>
  </w:style>
  <w:style w:type="character" w:customStyle="1" w:styleId="67">
    <w:name w:val="注释标题 Char"/>
    <w:basedOn w:val="34"/>
    <w:link w:val="8"/>
    <w:qFormat/>
    <w:uiPriority w:val="0"/>
    <w:rPr>
      <w:rFonts w:ascii="金梅簡體中黑字形" w:hAnsi="Arial" w:eastAsia="金梅簡體中黑字形" w:cs="Times New Roman"/>
      <w:kern w:val="0"/>
      <w:sz w:val="24"/>
      <w:szCs w:val="24"/>
    </w:rPr>
  </w:style>
  <w:style w:type="character" w:customStyle="1" w:styleId="68">
    <w:name w:val="文档结构图 Char"/>
    <w:basedOn w:val="34"/>
    <w:link w:val="10"/>
    <w:qFormat/>
    <w:uiPriority w:val="99"/>
    <w:rPr>
      <w:rFonts w:ascii="宋体"/>
      <w:sz w:val="18"/>
      <w:szCs w:val="18"/>
    </w:rPr>
  </w:style>
  <w:style w:type="character" w:customStyle="1" w:styleId="69">
    <w:name w:val="正文文本 3 Char"/>
    <w:basedOn w:val="34"/>
    <w:link w:val="12"/>
    <w:qFormat/>
    <w:uiPriority w:val="0"/>
    <w:rPr>
      <w:rFonts w:ascii="仿宋_GB2312" w:eastAsia="仿宋_GB2312"/>
      <w:sz w:val="24"/>
    </w:rPr>
  </w:style>
  <w:style w:type="character" w:customStyle="1" w:styleId="70">
    <w:name w:val="纯文本 Char"/>
    <w:basedOn w:val="34"/>
    <w:link w:val="17"/>
    <w:qFormat/>
    <w:uiPriority w:val="0"/>
    <w:rPr>
      <w:rFonts w:hAnsi="Courier New" w:cs="Courier New" w:asciiTheme="minorEastAsia"/>
    </w:rPr>
  </w:style>
  <w:style w:type="character" w:customStyle="1" w:styleId="71">
    <w:name w:val="正文首行缩进 Char"/>
    <w:basedOn w:val="48"/>
    <w:link w:val="30"/>
    <w:qFormat/>
    <w:uiPriority w:val="0"/>
    <w:rPr>
      <w:rFonts w:ascii="宋体" w:hAnsi="宋体" w:eastAsia="宋体" w:cs="Times New Roman"/>
      <w:sz w:val="24"/>
      <w:szCs w:val="24"/>
    </w:rPr>
  </w:style>
  <w:style w:type="table" w:customStyle="1" w:styleId="72">
    <w:name w:val="网格型5"/>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3">
    <w:name w:val="正文首行缩进 21"/>
    <w:basedOn w:val="14"/>
    <w:next w:val="13"/>
    <w:qFormat/>
    <w:uiPriority w:val="0"/>
    <w:pPr>
      <w:ind w:firstLine="210"/>
    </w:pPr>
    <w:rPr>
      <w:szCs w:val="21"/>
    </w:rPr>
  </w:style>
  <w:style w:type="paragraph" w:customStyle="1" w:styleId="74">
    <w:name w:val="标题 21"/>
    <w:basedOn w:val="1"/>
    <w:next w:val="1"/>
    <w:semiHidden/>
    <w:unhideWhenUsed/>
    <w:qFormat/>
    <w:uiPriority w:val="9"/>
    <w:pPr>
      <w:keepNext/>
      <w:keepLines/>
      <w:spacing w:before="260" w:after="260" w:line="416" w:lineRule="auto"/>
      <w:outlineLvl w:val="1"/>
    </w:pPr>
    <w:rPr>
      <w:rFonts w:ascii="Calibri Light" w:hAnsi="Calibri Light" w:eastAsia="宋体" w:cs="Times New Roman"/>
      <w:b/>
      <w:bCs/>
      <w:sz w:val="32"/>
      <w:szCs w:val="32"/>
    </w:rPr>
  </w:style>
  <w:style w:type="table" w:customStyle="1" w:styleId="75">
    <w:name w:val="网格型1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6">
    <w:name w:val="BodyText1I2"/>
    <w:basedOn w:val="1"/>
    <w:next w:val="1"/>
    <w:autoRedefine/>
    <w:qFormat/>
    <w:uiPriority w:val="99"/>
    <w:pPr>
      <w:spacing w:after="120"/>
      <w:ind w:left="420" w:leftChars="200" w:firstLine="420" w:firstLineChars="200"/>
      <w:textAlignment w:val="baseline"/>
    </w:pPr>
    <w:rPr>
      <w:rFonts w:ascii="楷体_GB2312" w:hAnsi="Times New Roman" w:eastAsia="楷体_GB2312" w:cs="Times New Roman"/>
      <w:szCs w:val="24"/>
    </w:rPr>
  </w:style>
  <w:style w:type="paragraph" w:styleId="77">
    <w:name w:val="List Paragraph"/>
    <w:basedOn w:val="1"/>
    <w:qFormat/>
    <w:uiPriority w:val="34"/>
    <w:pPr>
      <w:ind w:firstLine="420" w:firstLineChars="200"/>
    </w:pPr>
  </w:style>
  <w:style w:type="paragraph" w:customStyle="1" w:styleId="78">
    <w:name w:val="正文无缩进"/>
    <w:basedOn w:val="1"/>
    <w:qFormat/>
    <w:uiPriority w:val="0"/>
    <w:pPr>
      <w:widowControl/>
      <w:autoSpaceDE w:val="0"/>
      <w:autoSpaceDN w:val="0"/>
      <w:spacing w:line="300" w:lineRule="auto"/>
      <w:jc w:val="left"/>
      <w:textAlignment w:val="bottom"/>
    </w:pPr>
    <w:rPr>
      <w:rFonts w:eastAsia="楷体_GB2312"/>
      <w:kern w:val="0"/>
      <w:sz w:val="24"/>
    </w:rPr>
  </w:style>
  <w:style w:type="character" w:customStyle="1" w:styleId="79">
    <w:name w:val="NormalCharacter"/>
    <w:qFormat/>
    <w:uiPriority w:val="0"/>
    <w:rPr>
      <w:rFonts w:ascii="Times New Roman" w:hAnsi="Times New Roman" w:eastAsia="宋体"/>
    </w:rPr>
  </w:style>
  <w:style w:type="table" w:customStyle="1" w:styleId="80">
    <w:name w:val="网格型2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1">
    <w:name w:val="Default"/>
    <w:qFormat/>
    <w:uiPriority w:val="99"/>
    <w:pPr>
      <w:widowControl w:val="0"/>
      <w:autoSpaceDE w:val="0"/>
      <w:autoSpaceDN w:val="0"/>
      <w:adjustRightInd w:val="0"/>
      <w:snapToGrid w:val="0"/>
      <w:spacing w:line="360" w:lineRule="auto"/>
      <w:ind w:firstLine="1040" w:firstLineChars="200"/>
      <w:jc w:val="both"/>
    </w:pPr>
    <w:rPr>
      <w:rFonts w:eastAsia="Songti SC" w:cs="楷体à.ā" w:asciiTheme="minorEastAsia" w:hAnsiTheme="minorEastAsia"/>
      <w:color w:val="000000"/>
      <w:kern w:val="0"/>
      <w:sz w:val="24"/>
      <w:szCs w:val="24"/>
      <w:lang w:val="en-US" w:eastAsia="zh-CN" w:bidi="ar-SA"/>
    </w:rPr>
  </w:style>
  <w:style w:type="paragraph" w:customStyle="1" w:styleId="82">
    <w:name w:val="正文文本首行缩进1"/>
    <w:basedOn w:val="13"/>
    <w:next w:val="83"/>
    <w:qFormat/>
    <w:uiPriority w:val="0"/>
    <w:pPr>
      <w:spacing w:after="120"/>
      <w:ind w:firstLine="420"/>
    </w:pPr>
    <w:rPr>
      <w:rFonts w:eastAsia="宋体"/>
    </w:rPr>
  </w:style>
  <w:style w:type="paragraph" w:customStyle="1" w:styleId="83">
    <w:name w:val="正文文本首行缩进 21"/>
    <w:basedOn w:val="14"/>
    <w:qFormat/>
    <w:uiPriority w:val="0"/>
    <w:pPr>
      <w:widowControl/>
      <w:ind w:firstLine="420" w:firstLineChars="200"/>
    </w:pPr>
    <w:rPr>
      <w:rFonts w:ascii="仿宋_GB2312" w:eastAsia="仿宋_GB2312"/>
      <w:color w:val="FF6600"/>
    </w:rPr>
  </w:style>
  <w:style w:type="character" w:customStyle="1" w:styleId="84">
    <w:name w:val="font41"/>
    <w:basedOn w:val="34"/>
    <w:qFormat/>
    <w:uiPriority w:val="0"/>
    <w:rPr>
      <w:rFonts w:hint="eastAsia" w:ascii="宋体" w:hAnsi="宋体" w:eastAsia="宋体" w:cs="宋体"/>
      <w:color w:val="000000"/>
      <w:sz w:val="24"/>
      <w:szCs w:val="24"/>
      <w:u w:val="none"/>
    </w:rPr>
  </w:style>
  <w:style w:type="character" w:customStyle="1" w:styleId="85">
    <w:name w:val="font31"/>
    <w:qFormat/>
    <w:uiPriority w:val="0"/>
    <w:rPr>
      <w:rFonts w:hint="default" w:ascii="Times New Roman" w:hAnsi="Times New Roman" w:cs="Times New Roman"/>
      <w:color w:val="000000"/>
      <w:sz w:val="24"/>
      <w:szCs w:val="24"/>
      <w:u w:val="none"/>
    </w:rPr>
  </w:style>
  <w:style w:type="paragraph" w:customStyle="1" w:styleId="86">
    <w:name w:val="msolistparagraph"/>
    <w:basedOn w:val="1"/>
    <w:qFormat/>
    <w:uiPriority w:val="0"/>
    <w:pPr>
      <w:ind w:firstLine="420" w:firstLineChars="200"/>
    </w:pPr>
    <w:rPr>
      <w:rFonts w:ascii="Calibri" w:hAnsi="Calibri" w:eastAsia="宋体" w:cs="Times New Roman"/>
    </w:rPr>
  </w:style>
  <w:style w:type="paragraph" w:customStyle="1" w:styleId="87">
    <w:name w:val="表格文本"/>
    <w:qFormat/>
    <w:uiPriority w:val="0"/>
    <w:pPr>
      <w:jc w:val="center"/>
    </w:pPr>
    <w:rPr>
      <w:rFonts w:ascii="宋体" w:hAnsi="宋体" w:eastAsia="宋体" w:cs="Times New Roman (标题 CS)"/>
      <w:color w:val="000000" w:themeColor="text1"/>
      <w:kern w:val="2"/>
      <w:sz w:val="24"/>
      <w:szCs w:val="40"/>
      <w:lang w:val="en-US" w:eastAsia="zh-CN" w:bidi="ar-SA"/>
      <w14:textFill>
        <w14:solidFill>
          <w14:schemeClr w14:val="tx1"/>
        </w14:solidFill>
      </w14:textFill>
    </w:rPr>
  </w:style>
  <w:style w:type="paragraph" w:customStyle="1" w:styleId="88">
    <w:name w:val="表格文字"/>
    <w:basedOn w:val="89"/>
    <w:next w:val="13"/>
    <w:qFormat/>
    <w:uiPriority w:val="0"/>
  </w:style>
  <w:style w:type="paragraph" w:customStyle="1" w:styleId="89">
    <w:name w:val="表格文字（两侧对齐）"/>
    <w:basedOn w:val="1"/>
    <w:qFormat/>
    <w:uiPriority w:val="0"/>
    <w:rPr>
      <w:rFonts w:ascii="Calibri" w:hAnsi="Calibri"/>
      <w:kern w:val="0"/>
      <w:sz w:val="20"/>
    </w:rPr>
  </w:style>
  <w:style w:type="paragraph" w:customStyle="1" w:styleId="90">
    <w:name w:val="样式 样式 小四 行距: 1.5 倍行距 + 首行缩进:  3 字符"/>
    <w:basedOn w:val="1"/>
    <w:qFormat/>
    <w:uiPriority w:val="0"/>
    <w:pPr>
      <w:ind w:firstLine="420" w:firstLineChars="200"/>
    </w:pPr>
    <w:rPr>
      <w:rFonts w:ascii="宋体" w:hAnsi="宋体" w:eastAsia="宋体" w:cs="宋体"/>
      <w:szCs w:val="21"/>
    </w:rPr>
  </w:style>
  <w:style w:type="paragraph" w:customStyle="1" w:styleId="91">
    <w:name w:val="列出段落1"/>
    <w:basedOn w:val="1"/>
    <w:qFormat/>
    <w:uiPriority w:val="34"/>
    <w:pPr>
      <w:spacing w:line="360" w:lineRule="auto"/>
      <w:ind w:firstLine="420" w:firstLineChars="200"/>
    </w:pPr>
    <w:rPr>
      <w:rFonts w:ascii="Times New Roman" w:hAnsi="Times New Roman" w:eastAsia="宋体" w:cs="Times New Roman"/>
      <w:sz w:val="24"/>
      <w:szCs w:val="24"/>
    </w:rPr>
  </w:style>
  <w:style w:type="paragraph" w:customStyle="1" w:styleId="92">
    <w:name w:val="投标正文"/>
    <w:basedOn w:val="1"/>
    <w:qFormat/>
    <w:uiPriority w:val="0"/>
    <w:pPr>
      <w:spacing w:line="360" w:lineRule="auto"/>
      <w:ind w:left="567"/>
    </w:pPr>
    <w:rPr>
      <w:rFonts w:ascii="Times New Roman" w:hAnsi="Times New Roman"/>
      <w:sz w:val="24"/>
    </w:rPr>
  </w:style>
  <w:style w:type="table" w:customStyle="1" w:styleId="93">
    <w:name w:val="网格型6"/>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4">
    <w:name w:val="网格型22"/>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5">
    <w:name w:val="网格型7"/>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6">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7">
    <w:name w:val="TOC 标题1"/>
    <w:basedOn w:val="2"/>
    <w:next w:val="1"/>
    <w:semiHidden/>
    <w:unhideWhenUsed/>
    <w:qFormat/>
    <w:uiPriority w:val="39"/>
    <w:pPr>
      <w:outlineLvl w:val="9"/>
    </w:pPr>
  </w:style>
  <w:style w:type="table" w:customStyle="1" w:styleId="98">
    <w:name w:val="网格型8"/>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9">
    <w:name w:val="网格型9"/>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0">
    <w:name w:val="网格型12"/>
    <w:basedOn w:val="32"/>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1">
    <w:name w:val="网格型23"/>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2">
    <w:name w:val="网格型31"/>
    <w:basedOn w:val="32"/>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3">
    <w:name w:val="网格型41"/>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4">
    <w:name w:val="Table Normal1"/>
    <w:semiHidden/>
    <w:unhideWhenUsed/>
    <w:qFormat/>
    <w:uiPriority w:val="0"/>
    <w:tblPr>
      <w:tblCellMar>
        <w:top w:w="0" w:type="dxa"/>
        <w:left w:w="0" w:type="dxa"/>
        <w:bottom w:w="0" w:type="dxa"/>
        <w:right w:w="0" w:type="dxa"/>
      </w:tblCellMar>
    </w:tblPr>
  </w:style>
  <w:style w:type="table" w:customStyle="1" w:styleId="105">
    <w:name w:val="网格型51"/>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6">
    <w:name w:val="网格型111"/>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7">
    <w:name w:val="网格型211"/>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8">
    <w:name w:val="网格型61"/>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9">
    <w:name w:val="网格型221"/>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0">
    <w:name w:val="网格型71"/>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1">
    <w:name w:val="网格型10"/>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2">
    <w:name w:val="网格型13"/>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3">
    <w:name w:val="网格型121"/>
    <w:basedOn w:val="32"/>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4">
    <w:name w:val="网格型231"/>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5">
    <w:name w:val="网格型311"/>
    <w:basedOn w:val="32"/>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6">
    <w:name w:val="网格型41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7">
    <w:name w:val="Table Normal11"/>
    <w:semiHidden/>
    <w:unhideWhenUsed/>
    <w:qFormat/>
    <w:uiPriority w:val="0"/>
    <w:rPr>
      <w:kern w:val="0"/>
      <w:sz w:val="20"/>
      <w:szCs w:val="20"/>
    </w:rPr>
    <w:tblPr>
      <w:tblCellMar>
        <w:top w:w="0" w:type="dxa"/>
        <w:left w:w="0" w:type="dxa"/>
        <w:bottom w:w="0" w:type="dxa"/>
        <w:right w:w="0" w:type="dxa"/>
      </w:tblCellMar>
    </w:tblPr>
  </w:style>
  <w:style w:type="table" w:customStyle="1" w:styleId="118">
    <w:name w:val="网格型511"/>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9">
    <w:name w:val="网格型111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0">
    <w:name w:val="网格型211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1">
    <w:name w:val="网格型611"/>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2">
    <w:name w:val="网格型2211"/>
    <w:basedOn w:val="32"/>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3">
    <w:name w:val="网格型711"/>
    <w:basedOn w:val="32"/>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4">
    <w:name w:val="font181"/>
    <w:basedOn w:val="34"/>
    <w:qFormat/>
    <w:uiPriority w:val="0"/>
    <w:rPr>
      <w:rFonts w:hint="eastAsia" w:ascii="宋体" w:hAnsi="宋体" w:eastAsia="宋体" w:cs="宋体"/>
      <w:color w:val="000000"/>
      <w:sz w:val="24"/>
      <w:szCs w:val="24"/>
      <w:u w:val="none"/>
    </w:rPr>
  </w:style>
  <w:style w:type="character" w:customStyle="1" w:styleId="125">
    <w:name w:val="font121"/>
    <w:basedOn w:val="34"/>
    <w:qFormat/>
    <w:uiPriority w:val="0"/>
    <w:rPr>
      <w:rFonts w:hint="eastAsia" w:ascii="宋体" w:hAnsi="宋体" w:eastAsia="宋体" w:cs="宋体"/>
      <w:color w:val="000000"/>
      <w:sz w:val="18"/>
      <w:szCs w:val="18"/>
      <w:u w:val="none"/>
    </w:rPr>
  </w:style>
  <w:style w:type="character" w:customStyle="1" w:styleId="126">
    <w:name w:val="font191"/>
    <w:basedOn w:val="3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A64F96-AA5E-40F9-883F-4CCB87DD1A3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53</Pages>
  <Words>149</Words>
  <Characters>179</Characters>
  <Lines>175</Lines>
  <Paragraphs>49</Paragraphs>
  <TotalTime>6</TotalTime>
  <ScaleCrop>false</ScaleCrop>
  <LinksUpToDate>false</LinksUpToDate>
  <CharactersWithSpaces>219</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2025-10-17T05:39:00Z</dcterms:created>
  <dc:creator>Administrator</dc:creator>
  <cp:lastModifiedBy>Administrator</cp:lastModifiedBy>
  <cp:lastPrinted>2026-05-12T05:27:00Z</cp:lastPrinted>
  <dcterms:modified xsi:type="dcterms:W3CDTF">2026-05-13T01:46:35Z</dcterms:modified>
  <cp:revision>468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2052-12.1.0.25860</vt:lpwstr>
  </property>
  <property fmtid="{D5CDD505-2E9C-101B-9397-08002B2CF9AE}" pid="4" name="ICV">
    <vt:lpwstr>2D0D58DA987F46E39D6873CA78060E15_13</vt:lpwstr>
  </property>
</Properties>
</file>